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41087">
      <w:pPr>
        <w:ind w:firstLine="640" w:firstLineChars="200"/>
        <w:jc w:val="center"/>
        <w:rPr>
          <w:rFonts w:ascii="仿宋_GB2312" w:eastAsia="仿宋_GB2312"/>
          <w:sz w:val="32"/>
          <w:szCs w:val="32"/>
        </w:rPr>
      </w:pPr>
    </w:p>
    <w:p w14:paraId="4490F831">
      <w:pPr>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北京市信访办公室2020年财政预算信息</w:t>
      </w:r>
    </w:p>
    <w:p w14:paraId="5D52C99F">
      <w:pPr>
        <w:jc w:val="center"/>
        <w:rPr>
          <w:rFonts w:ascii="方正小标宋简体" w:eastAsia="方正小标宋简体"/>
          <w:color w:val="000000"/>
          <w:sz w:val="32"/>
          <w:szCs w:val="32"/>
        </w:rPr>
      </w:pPr>
    </w:p>
    <w:p w14:paraId="6ADF1392">
      <w:pPr>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6FE09B0F">
      <w:pPr>
        <w:jc w:val="center"/>
        <w:rPr>
          <w:rFonts w:ascii="方正小标宋简体" w:eastAsia="方正小标宋简体"/>
          <w:color w:val="000000"/>
          <w:sz w:val="32"/>
          <w:szCs w:val="32"/>
        </w:rPr>
      </w:pPr>
    </w:p>
    <w:p w14:paraId="7A91B4D1">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第一部分、2020年度部门预算情况说明</w:t>
      </w:r>
    </w:p>
    <w:p w14:paraId="4C08AF89">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一、部门基本情况</w:t>
      </w:r>
    </w:p>
    <w:p w14:paraId="7ACDA89F">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二、2020年收入及支出总体情况</w:t>
      </w:r>
    </w:p>
    <w:p w14:paraId="2C9F516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14:paraId="6424F302">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四、部门“三公”经费财政拨款预算说明</w:t>
      </w:r>
    </w:p>
    <w:p w14:paraId="7232BAAB">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14:paraId="60EA6464">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14:paraId="6D8B14B6">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第二部分、2020年度部门预算报表</w:t>
      </w:r>
    </w:p>
    <w:p w14:paraId="71DDEEA8">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14:paraId="55049DFC">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14:paraId="249F4FE5">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14:paraId="06998475">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14:paraId="0690556A">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14:paraId="3CDF07D8">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14:paraId="42BCC70A">
      <w:pPr>
        <w:autoSpaceDE w:val="0"/>
        <w:autoSpaceDN w:val="0"/>
        <w:adjustRightInd w:val="0"/>
        <w:spacing w:line="560" w:lineRule="exact"/>
        <w:ind w:firstLine="576"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七、一般公共预算财政拨款基本支出表</w:t>
      </w:r>
    </w:p>
    <w:p w14:paraId="7EFA6604">
      <w:pPr>
        <w:autoSpaceDE w:val="0"/>
        <w:autoSpaceDN w:val="0"/>
        <w:adjustRightInd w:val="0"/>
        <w:spacing w:line="560" w:lineRule="exact"/>
        <w:ind w:firstLine="576"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14:paraId="1A4FA0B7">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九、政府性基金预算财政拨款支出表</w:t>
      </w:r>
    </w:p>
    <w:p w14:paraId="6E285561">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十、财政拨款（含一般公共预算和政府性基金预算）</w:t>
      </w:r>
      <w:r>
        <w:rPr>
          <w:rFonts w:hint="eastAsia" w:ascii="仿宋_GB2312" w:eastAsia="仿宋_GB2312" w:cs="宋体"/>
          <w:color w:val="000000"/>
          <w:kern w:val="0"/>
          <w:sz w:val="32"/>
          <w:szCs w:val="32"/>
          <w:lang w:val="zh-CN"/>
        </w:rPr>
        <w:t>“三公”经</w:t>
      </w:r>
    </w:p>
    <w:p w14:paraId="6C3A9DF8">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费支出表</w:t>
      </w:r>
    </w:p>
    <w:p w14:paraId="48C90B3B">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十一、政府购买服务预算财政拨款明细表</w:t>
      </w:r>
    </w:p>
    <w:p w14:paraId="09A8C6F5">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十二、部门整体支出绩效目标申报表</w:t>
      </w:r>
    </w:p>
    <w:p w14:paraId="5F587007">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2098" w:right="1474" w:bottom="1985"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14:paraId="59AB59E9">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第一部分2020年部门预算情况说明</w:t>
      </w:r>
    </w:p>
    <w:p w14:paraId="4E7B359A">
      <w:pPr>
        <w:spacing w:line="560" w:lineRule="exact"/>
        <w:ind w:firstLine="640" w:firstLineChars="200"/>
        <w:jc w:val="left"/>
        <w:rPr>
          <w:rFonts w:ascii="仿宋_GB2312" w:eastAsia="仿宋_GB2312"/>
          <w:sz w:val="32"/>
          <w:szCs w:val="32"/>
        </w:rPr>
      </w:pPr>
    </w:p>
    <w:p w14:paraId="2E71217B">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一、部门情况</w:t>
      </w:r>
    </w:p>
    <w:p w14:paraId="49EAD3B0">
      <w:pPr>
        <w:spacing w:line="560" w:lineRule="exact"/>
        <w:ind w:firstLine="640" w:firstLineChars="200"/>
        <w:rPr>
          <w:rFonts w:ascii="仿宋_GB2312" w:eastAsia="仿宋_GB2312"/>
          <w:sz w:val="32"/>
          <w:szCs w:val="32"/>
        </w:rPr>
      </w:pPr>
      <w:r>
        <w:rPr>
          <w:rFonts w:hint="eastAsia" w:ascii="仿宋_GB2312" w:eastAsia="仿宋_GB2312"/>
          <w:sz w:val="32"/>
          <w:szCs w:val="32"/>
        </w:rPr>
        <w:t>（一）部门机构设置、职责</w:t>
      </w:r>
    </w:p>
    <w:p w14:paraId="60CA39B7">
      <w:pPr>
        <w:spacing w:line="560" w:lineRule="exact"/>
        <w:ind w:firstLine="640" w:firstLineChars="200"/>
        <w:rPr>
          <w:rFonts w:ascii="仿宋_GB2312" w:eastAsia="仿宋_GB2312"/>
          <w:sz w:val="32"/>
          <w:szCs w:val="32"/>
        </w:rPr>
      </w:pPr>
      <w:r>
        <w:rPr>
          <w:rFonts w:hint="eastAsia" w:ascii="仿宋_GB2312" w:eastAsia="仿宋_GB2312"/>
          <w:sz w:val="32"/>
          <w:szCs w:val="32"/>
        </w:rPr>
        <w:t>根据中共中央、国务院批准的北京市人民政府机构改革方案和《中共北京市委北京市人民政府关于印发〈北京市机构改革实施方案〉的通知》(京发〔2018〕31号)、《中共北京市委办公厅北京市人民政府办公厅关于印发〈北京市信访办公室职能配置、内设机构和人员编制规定〉</w:t>
      </w:r>
      <w:r>
        <w:rPr>
          <w:rFonts w:hint="eastAsia" w:ascii="仿宋_GB2312" w:hAnsi="仿宋_GB2312" w:eastAsia="仿宋_GB2312"/>
          <w:sz w:val="32"/>
          <w:szCs w:val="32"/>
        </w:rPr>
        <w:t>的通知</w:t>
      </w:r>
      <w:r>
        <w:rPr>
          <w:rFonts w:hint="eastAsia" w:ascii="仿宋_GB2312" w:eastAsia="仿宋_GB2312"/>
          <w:sz w:val="32"/>
          <w:szCs w:val="32"/>
        </w:rPr>
        <w:t>》(京办字〔2018〕38号)，设立北京市信访办公室（简称市信访办）。市信访办共内设15个处室，另有2个全额拨款事业单位，分别为北京市信访信息中心和北京市信访矛盾分析研究中心。</w:t>
      </w:r>
    </w:p>
    <w:p w14:paraId="68F9CA66">
      <w:pPr>
        <w:spacing w:line="560" w:lineRule="exact"/>
        <w:ind w:firstLine="640" w:firstLineChars="200"/>
        <w:rPr>
          <w:rFonts w:ascii="仿宋_GB2312" w:eastAsia="仿宋_GB2312"/>
          <w:sz w:val="32"/>
          <w:szCs w:val="32"/>
        </w:rPr>
      </w:pPr>
      <w:r>
        <w:rPr>
          <w:rFonts w:hint="eastAsia" w:ascii="仿宋_GB2312" w:eastAsia="仿宋_GB2312"/>
          <w:sz w:val="32"/>
          <w:szCs w:val="32"/>
        </w:rPr>
        <w:t>市信访办贯彻落实党中央关于信访工作的方针政策、决策部署和市委有关工作要求，在履行职责过程中坚持和加强党对信访工作的集中统一领导。主要职责：</w:t>
      </w:r>
    </w:p>
    <w:p w14:paraId="049B7057">
      <w:pPr>
        <w:spacing w:line="560" w:lineRule="exact"/>
        <w:ind w:firstLine="640" w:firstLineChars="200"/>
        <w:rPr>
          <w:rFonts w:ascii="仿宋_GB2312" w:eastAsia="仿宋_GB2312"/>
          <w:sz w:val="32"/>
          <w:szCs w:val="32"/>
        </w:rPr>
      </w:pPr>
      <w:r>
        <w:rPr>
          <w:rFonts w:hint="eastAsia" w:ascii="仿宋_GB2312" w:eastAsia="仿宋_GB2312"/>
          <w:sz w:val="32"/>
          <w:szCs w:val="32"/>
        </w:rPr>
        <w:t>1.贯彻落实国家关于信访工作的法律法规、规章和政策，研究起草本市相关地方性法规草案、政府规章草案并组织实施。</w:t>
      </w:r>
    </w:p>
    <w:p w14:paraId="4A4E9E90">
      <w:pPr>
        <w:spacing w:line="560" w:lineRule="exact"/>
        <w:ind w:firstLine="640" w:firstLineChars="200"/>
        <w:rPr>
          <w:rFonts w:ascii="仿宋_GB2312" w:eastAsia="仿宋_GB2312"/>
          <w:sz w:val="32"/>
          <w:szCs w:val="32"/>
        </w:rPr>
      </w:pPr>
      <w:r>
        <w:rPr>
          <w:rFonts w:hint="eastAsia" w:ascii="仿宋_GB2312" w:eastAsia="仿宋_GB2312"/>
          <w:sz w:val="32"/>
          <w:szCs w:val="32"/>
        </w:rPr>
        <w:t>2.负责处理群众、境外人士、法人及其他组织通过信访渠道提出涉及本市的信访诉求，办理群众给市委、市政府及领导同志的来信、网上信访，接待来访。</w:t>
      </w:r>
    </w:p>
    <w:p w14:paraId="03FCD2A4">
      <w:pPr>
        <w:spacing w:line="560" w:lineRule="exact"/>
        <w:ind w:firstLine="640" w:firstLineChars="200"/>
        <w:rPr>
          <w:rFonts w:ascii="仿宋_GB2312" w:eastAsia="仿宋_GB2312"/>
          <w:sz w:val="32"/>
          <w:szCs w:val="32"/>
        </w:rPr>
      </w:pPr>
      <w:r>
        <w:rPr>
          <w:rFonts w:hint="eastAsia" w:ascii="仿宋_GB2312" w:eastAsia="仿宋_GB2312"/>
          <w:sz w:val="32"/>
          <w:szCs w:val="32"/>
        </w:rPr>
        <w:t>3.负责向市委、市政府反映来信来访、网上信访中提出的重要建议、意见和问题，综合研判信访形势，组织开展信访理论研究，提出工作建议。</w:t>
      </w:r>
    </w:p>
    <w:p w14:paraId="0C35B02C">
      <w:pPr>
        <w:spacing w:line="560" w:lineRule="exact"/>
        <w:ind w:firstLine="640" w:firstLineChars="200"/>
        <w:rPr>
          <w:rFonts w:ascii="仿宋_GB2312" w:eastAsia="仿宋_GB2312"/>
          <w:sz w:val="32"/>
          <w:szCs w:val="32"/>
        </w:rPr>
      </w:pPr>
      <w:r>
        <w:rPr>
          <w:rFonts w:hint="eastAsia" w:ascii="仿宋_GB2312" w:eastAsia="仿宋_GB2312"/>
          <w:sz w:val="32"/>
          <w:szCs w:val="32"/>
        </w:rPr>
        <w:t>4.负责中央及市委、市政府有关信访工作决策部署的督查督办工作，向各区及各相关单位交转有关信访事项，并督促检查办理情况。</w:t>
      </w:r>
    </w:p>
    <w:p w14:paraId="0B656A1E">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5.负责外地在京上访人员和非正常上访人员劝返接回工作中本市综合协调工作。</w:t>
      </w:r>
    </w:p>
    <w:p w14:paraId="5D933BE1">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eastAsia="仿宋_GB2312" w:asciiTheme="minorHAnsi" w:hAnsiTheme="minorHAnsi" w:cstheme="minorBidi"/>
          <w:kern w:val="2"/>
          <w:sz w:val="32"/>
          <w:szCs w:val="32"/>
        </w:rPr>
        <w:t> </w:t>
      </w:r>
      <w:r>
        <w:rPr>
          <w:rFonts w:hint="eastAsia" w:ascii="仿宋_GB2312" w:eastAsia="仿宋_GB2312" w:hAnsiTheme="minorHAnsi" w:cstheme="minorBidi"/>
          <w:kern w:val="2"/>
          <w:sz w:val="32"/>
          <w:szCs w:val="32"/>
        </w:rPr>
        <w:t>6.组织协调开展人民内部矛盾纠纷排查调处工作，负责将重点矛盾纠纷的调处情况及时向市委、市政府报告。</w:t>
      </w:r>
    </w:p>
    <w:p w14:paraId="307021C9">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7.负责协调处理本市跨地区、跨部门、跨行业突出信访问题，督促检查各项措施的落实，参与协调处理与信访有关的突发事件。</w:t>
      </w:r>
    </w:p>
    <w:p w14:paraId="1A288A27">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8.承担北京市人民政府信访事项复查复核委员会的具体工作，负责市政府受理的信访事项复查、复核工作。</w:t>
      </w:r>
    </w:p>
    <w:p w14:paraId="626A4758">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9.负责指导全市信访工作。承担对全市信访信息的汇集分析职责，组织指导协调、推动全市信访系统信息化建设。负责信访工作的宣传和信息发布。</w:t>
      </w:r>
    </w:p>
    <w:p w14:paraId="0A117614">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eastAsia="仿宋_GB2312" w:asciiTheme="minorHAnsi" w:hAnsiTheme="minorHAnsi" w:cstheme="minorBidi"/>
          <w:kern w:val="2"/>
          <w:sz w:val="32"/>
          <w:szCs w:val="32"/>
        </w:rPr>
        <w:t>  </w:t>
      </w:r>
      <w:r>
        <w:rPr>
          <w:rFonts w:hint="eastAsia" w:ascii="仿宋_GB2312" w:eastAsia="仿宋_GB2312" w:hAnsiTheme="minorHAnsi" w:cstheme="minorBidi"/>
          <w:kern w:val="2"/>
          <w:sz w:val="32"/>
          <w:szCs w:val="32"/>
        </w:rPr>
        <w:t>10.负责征集、处理群众对本市政治、经济、文化、社会和生态文明建设等各项事业发展的重要建议。</w:t>
      </w:r>
    </w:p>
    <w:p w14:paraId="24DD7E8C">
      <w:pPr>
        <w:pStyle w:val="5"/>
        <w:shd w:val="clear" w:color="auto" w:fill="FFFFFF"/>
        <w:spacing w:before="0" w:beforeAutospacing="0" w:after="0" w:afterAutospacing="0" w:line="560" w:lineRule="exact"/>
        <w:ind w:firstLine="640" w:firstLineChars="200"/>
        <w:jc w:val="both"/>
        <w:rPr>
          <w:rFonts w:ascii="仿宋_GB2312" w:hAnsi="Calibri" w:eastAsia="仿宋_GB2312"/>
          <w:color w:val="404040"/>
          <w:sz w:val="32"/>
          <w:szCs w:val="32"/>
        </w:rPr>
      </w:pPr>
      <w:r>
        <w:rPr>
          <w:rFonts w:hint="eastAsia" w:eastAsia="仿宋_GB2312" w:asciiTheme="minorHAnsi" w:hAnsiTheme="minorHAnsi" w:cstheme="minorBidi"/>
          <w:kern w:val="2"/>
          <w:sz w:val="32"/>
          <w:szCs w:val="32"/>
        </w:rPr>
        <w:t>  </w:t>
      </w:r>
      <w:r>
        <w:rPr>
          <w:rFonts w:hint="eastAsia" w:ascii="仿宋_GB2312" w:eastAsia="仿宋_GB2312" w:hAnsiTheme="minorHAnsi" w:cstheme="minorBidi"/>
          <w:kern w:val="2"/>
          <w:sz w:val="32"/>
          <w:szCs w:val="32"/>
        </w:rPr>
        <w:t>11.完成市委、市政府交办的其他任务。</w:t>
      </w:r>
    </w:p>
    <w:p w14:paraId="452D846D">
      <w:pPr>
        <w:spacing w:line="560" w:lineRule="exact"/>
        <w:ind w:firstLine="640" w:firstLineChars="200"/>
        <w:rPr>
          <w:rFonts w:ascii="仿宋_GB2312" w:eastAsia="仿宋_GB2312"/>
          <w:sz w:val="32"/>
          <w:szCs w:val="32"/>
        </w:rPr>
      </w:pPr>
      <w:r>
        <w:rPr>
          <w:rFonts w:hint="eastAsia" w:ascii="仿宋_GB2312" w:eastAsia="仿宋_GB2312"/>
          <w:sz w:val="32"/>
          <w:szCs w:val="32"/>
        </w:rPr>
        <w:t>（二）人员构成情况</w:t>
      </w:r>
    </w:p>
    <w:p w14:paraId="7CB3DAB2">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北京市信访办公室部门行政编制119人，实际115人；事业编制38人，实际37人；工勤编制1人，实际1人；聘用人员0人。离退休人员52人，其中：离休1人，退休51人。</w:t>
      </w:r>
    </w:p>
    <w:p w14:paraId="4CCF458B">
      <w:pPr>
        <w:spacing w:line="560" w:lineRule="exact"/>
        <w:ind w:firstLine="640" w:firstLineChars="200"/>
        <w:rPr>
          <w:rFonts w:ascii="仿宋_GB2312" w:eastAsia="仿宋_GB2312"/>
          <w:sz w:val="32"/>
          <w:szCs w:val="32"/>
        </w:rPr>
      </w:pPr>
      <w:r>
        <w:rPr>
          <w:rFonts w:hint="eastAsia" w:ascii="仿宋_GB2312" w:eastAsia="仿宋_GB2312"/>
          <w:sz w:val="32"/>
          <w:szCs w:val="32"/>
        </w:rPr>
        <w:t>二、2020年收入及</w:t>
      </w:r>
      <w:r>
        <w:rPr>
          <w:rFonts w:ascii="仿宋_GB2312" w:eastAsia="仿宋_GB2312"/>
          <w:sz w:val="32"/>
          <w:szCs w:val="32"/>
        </w:rPr>
        <w:t>支出总体情况</w:t>
      </w:r>
    </w:p>
    <w:p w14:paraId="5F6814E9">
      <w:pPr>
        <w:spacing w:line="560" w:lineRule="exact"/>
        <w:ind w:firstLine="640" w:firstLineChars="200"/>
        <w:rPr>
          <w:rFonts w:ascii="仿宋_GB2312" w:eastAsia="仿宋_GB2312"/>
          <w:sz w:val="32"/>
          <w:szCs w:val="32"/>
        </w:rPr>
      </w:pPr>
      <w:r>
        <w:rPr>
          <w:rFonts w:hint="eastAsia" w:ascii="仿宋_GB2312" w:eastAsia="仿宋_GB2312"/>
          <w:sz w:val="32"/>
          <w:szCs w:val="32"/>
        </w:rPr>
        <w:t>2020年收入预算8518.38万元，比2019年8568.21万元减少49.83万元，下降0.58%。其中：财政拨款8518.38万元,比2019年8012.03万元增加506.35万元</w:t>
      </w:r>
      <w:r>
        <w:rPr>
          <w:rFonts w:hint="eastAsia" w:ascii="仿宋_GB2312" w:eastAsia="仿宋_GB2312"/>
          <w:color w:val="000000" w:themeColor="text1"/>
          <w:sz w:val="32"/>
          <w:szCs w:val="32"/>
        </w:rPr>
        <w:t>；</w:t>
      </w:r>
      <w:r>
        <w:rPr>
          <w:rFonts w:hint="eastAsia" w:ascii="仿宋_GB2312" w:eastAsia="仿宋_GB2312"/>
          <w:sz w:val="32"/>
          <w:szCs w:val="32"/>
        </w:rPr>
        <w:t>继续使用的财政性结转资金0万元,比2019年556.18万元减少556.18万元。</w:t>
      </w:r>
    </w:p>
    <w:p w14:paraId="09B0C9C4">
      <w:pPr>
        <w:spacing w:line="560" w:lineRule="exact"/>
        <w:ind w:firstLine="640" w:firstLineChars="200"/>
        <w:rPr>
          <w:rFonts w:ascii="仿宋_GB2312" w:eastAsia="仿宋_GB2312"/>
          <w:sz w:val="32"/>
          <w:szCs w:val="32"/>
          <w:highlight w:val="yellow"/>
        </w:rPr>
      </w:pPr>
      <w:r>
        <w:rPr>
          <w:rFonts w:hint="eastAsia" w:ascii="仿宋_GB2312" w:eastAsia="仿宋_GB2312"/>
          <w:sz w:val="32"/>
          <w:szCs w:val="32"/>
        </w:rPr>
        <w:t>2020年支出预算8518.38万元，比2019年8568.21万元减少49.83万元，下降0.58%。其中：基本支出预算5572.8万元，占总支出预算65.42</w:t>
      </w:r>
      <w:r>
        <w:rPr>
          <w:rFonts w:ascii="仿宋_GB2312" w:eastAsia="仿宋_GB2312"/>
          <w:sz w:val="32"/>
          <w:szCs w:val="32"/>
        </w:rPr>
        <w:t>%</w:t>
      </w:r>
      <w:r>
        <w:rPr>
          <w:rFonts w:hint="eastAsia" w:ascii="仿宋_GB2312" w:eastAsia="仿宋_GB2312"/>
          <w:sz w:val="32"/>
          <w:szCs w:val="32"/>
        </w:rPr>
        <w:t>，比2019年5220.02万元增加352.78万元，增长6.76%。变动原因：因</w:t>
      </w:r>
      <w:r>
        <w:rPr>
          <w:rFonts w:ascii="仿宋_GB2312" w:eastAsia="仿宋_GB2312"/>
          <w:sz w:val="32"/>
          <w:szCs w:val="32"/>
        </w:rPr>
        <w:t>人员</w:t>
      </w:r>
      <w:r>
        <w:rPr>
          <w:rFonts w:hint="eastAsia" w:ascii="仿宋_GB2312" w:eastAsia="仿宋_GB2312"/>
          <w:sz w:val="32"/>
          <w:szCs w:val="32"/>
        </w:rPr>
        <w:t>正常</w:t>
      </w:r>
      <w:r>
        <w:rPr>
          <w:rFonts w:ascii="仿宋_GB2312" w:eastAsia="仿宋_GB2312"/>
          <w:sz w:val="32"/>
          <w:szCs w:val="32"/>
        </w:rPr>
        <w:t>晋级晋档及落实国家有关工资政策</w:t>
      </w:r>
      <w:r>
        <w:rPr>
          <w:rFonts w:hint="eastAsia" w:ascii="仿宋_GB2312" w:eastAsia="仿宋_GB2312"/>
          <w:sz w:val="32"/>
          <w:szCs w:val="32"/>
        </w:rPr>
        <w:t>。项目支出预算2945.58万元，比2019年</w:t>
      </w:r>
      <w:r>
        <w:rPr>
          <w:rFonts w:ascii="仿宋_GB2312" w:eastAsia="仿宋_GB2312"/>
          <w:sz w:val="32"/>
          <w:szCs w:val="32"/>
        </w:rPr>
        <w:t>3348.2</w:t>
      </w:r>
      <w:r>
        <w:rPr>
          <w:rFonts w:hint="eastAsia" w:ascii="仿宋_GB2312" w:eastAsia="仿宋_GB2312"/>
          <w:sz w:val="32"/>
          <w:szCs w:val="32"/>
        </w:rPr>
        <w:t>0万元减少402.61万元，下降12.02%。变动原因：落实过紧日子要求，严格控制一般性支出。</w:t>
      </w:r>
    </w:p>
    <w:p w14:paraId="660B54A9">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主要</w:t>
      </w:r>
      <w:r>
        <w:rPr>
          <w:rFonts w:ascii="仿宋_GB2312" w:eastAsia="仿宋_GB2312"/>
          <w:sz w:val="32"/>
          <w:szCs w:val="32"/>
        </w:rPr>
        <w:t>支出情况</w:t>
      </w:r>
    </w:p>
    <w:p w14:paraId="242A188F">
      <w:pPr>
        <w:spacing w:line="560" w:lineRule="exact"/>
        <w:ind w:firstLine="640" w:firstLineChars="200"/>
        <w:rPr>
          <w:rFonts w:ascii="仿宋_GB2312" w:eastAsia="仿宋_GB2312"/>
          <w:sz w:val="32"/>
          <w:szCs w:val="32"/>
        </w:rPr>
      </w:pPr>
      <w:r>
        <w:rPr>
          <w:rFonts w:hint="eastAsia" w:ascii="仿宋_GB2312" w:eastAsia="仿宋_GB2312"/>
          <w:sz w:val="32"/>
          <w:szCs w:val="32"/>
        </w:rPr>
        <w:t>（一）2020预算年度的主要工作任务</w:t>
      </w:r>
    </w:p>
    <w:p w14:paraId="5994A300">
      <w:pPr>
        <w:spacing w:line="560" w:lineRule="exact"/>
        <w:ind w:firstLine="640" w:firstLineChars="200"/>
        <w:rPr>
          <w:rFonts w:ascii="楷体_GB2312" w:eastAsia="楷体_GB2312"/>
          <w:sz w:val="32"/>
          <w:szCs w:val="32"/>
        </w:rPr>
      </w:pPr>
      <w:r>
        <w:rPr>
          <w:rFonts w:hint="eastAsia" w:ascii="仿宋_GB2312" w:eastAsia="仿宋_GB2312"/>
          <w:sz w:val="32"/>
          <w:szCs w:val="32"/>
        </w:rPr>
        <w:t>1.</w:t>
      </w:r>
      <w:r>
        <w:rPr>
          <w:rFonts w:hint="eastAsia" w:ascii="楷体_GB2312" w:eastAsia="楷体_GB2312"/>
          <w:sz w:val="32"/>
          <w:szCs w:val="32"/>
        </w:rPr>
        <w:t>畅通信访工作渠道，维护群众合法权益。</w:t>
      </w:r>
      <w:r>
        <w:rPr>
          <w:rFonts w:hint="eastAsia" w:ascii="仿宋_GB2312" w:eastAsia="仿宋_GB2312"/>
          <w:sz w:val="32"/>
          <w:szCs w:val="32"/>
        </w:rPr>
        <w:t>加强信访法治化建设，推进《北京市信访条例》修订工作，出台《北京市信访事项复查复核办法》，</w:t>
      </w:r>
      <w:r>
        <w:rPr>
          <w:rFonts w:hint="eastAsia" w:hAnsi="Book Antiqua" w:eastAsia="仿宋_GB2312"/>
          <w:sz w:val="32"/>
          <w:szCs w:val="32"/>
        </w:rPr>
        <w:t>不断规范信访</w:t>
      </w:r>
      <w:r>
        <w:rPr>
          <w:rFonts w:hint="eastAsia" w:ascii="仿宋_GB2312" w:eastAsia="仿宋_GB2312"/>
          <w:sz w:val="32"/>
          <w:szCs w:val="32"/>
        </w:rPr>
        <w:t>基础业务</w:t>
      </w:r>
      <w:r>
        <w:rPr>
          <w:rFonts w:hint="eastAsia" w:hAnsi="Book Antiqua" w:eastAsia="仿宋_GB2312"/>
          <w:sz w:val="32"/>
          <w:szCs w:val="32"/>
        </w:rPr>
        <w:t>；</w:t>
      </w:r>
      <w:r>
        <w:rPr>
          <w:rFonts w:hint="eastAsia" w:ascii="仿宋_GB2312" w:eastAsia="仿宋_GB2312"/>
          <w:sz w:val="32"/>
          <w:szCs w:val="32"/>
        </w:rPr>
        <w:t>加强网上信访建设，推动网上信访主渠道作用发挥；</w:t>
      </w:r>
      <w:r>
        <w:rPr>
          <w:rFonts w:hint="eastAsia" w:hAnsi="Book Antiqua" w:eastAsia="仿宋_GB2312"/>
          <w:sz w:val="32"/>
          <w:szCs w:val="32"/>
        </w:rPr>
        <w:t>将信访业务与“接诉即办”深度融合，</w:t>
      </w:r>
      <w:r>
        <w:rPr>
          <w:rFonts w:hint="eastAsia" w:ascii="仿宋_GB2312" w:hAnsi="楷体" w:eastAsia="仿宋_GB2312" w:cs="仿宋_GB2312"/>
          <w:sz w:val="32"/>
          <w:szCs w:val="32"/>
        </w:rPr>
        <w:t>缩短平均办理周期；</w:t>
      </w:r>
      <w:r>
        <w:rPr>
          <w:rFonts w:hint="eastAsia" w:ascii="仿宋_GB2312" w:eastAsia="仿宋_GB2312"/>
          <w:sz w:val="32"/>
          <w:szCs w:val="32"/>
        </w:rPr>
        <w:t>落实“最多访一次”改革措施，</w:t>
      </w:r>
      <w:r>
        <w:rPr>
          <w:rFonts w:hint="eastAsia" w:hAnsi="Book Antiqua" w:eastAsia="仿宋_GB2312"/>
          <w:sz w:val="32"/>
          <w:szCs w:val="32"/>
        </w:rPr>
        <w:t>深化部门联合接访工作。</w:t>
      </w:r>
    </w:p>
    <w:p w14:paraId="7F0DB485">
      <w:pPr>
        <w:spacing w:line="560" w:lineRule="exact"/>
        <w:ind w:firstLine="640" w:firstLineChars="200"/>
        <w:rPr>
          <w:rFonts w:hAnsi="Book Antiqua" w:eastAsia="仿宋_GB2312"/>
          <w:sz w:val="32"/>
          <w:szCs w:val="32"/>
        </w:rPr>
      </w:pPr>
      <w:r>
        <w:rPr>
          <w:rFonts w:ascii="仿宋_GB2312" w:eastAsia="仿宋_GB2312"/>
          <w:sz w:val="32"/>
          <w:szCs w:val="32"/>
        </w:rPr>
        <w:t>2</w:t>
      </w:r>
      <w:r>
        <w:rPr>
          <w:rFonts w:hint="eastAsia" w:ascii="仿宋_GB2312" w:eastAsia="仿宋_GB2312"/>
          <w:sz w:val="32"/>
          <w:szCs w:val="32"/>
        </w:rPr>
        <w:t>.</w:t>
      </w:r>
      <w:r>
        <w:rPr>
          <w:rFonts w:hint="eastAsia" w:ascii="楷体_GB2312" w:eastAsia="楷体_GB2312"/>
          <w:sz w:val="32"/>
          <w:szCs w:val="32"/>
        </w:rPr>
        <w:t>加强源头治理和积案化解，提高预防化解信访问题的实效。</w:t>
      </w:r>
      <w:r>
        <w:rPr>
          <w:rFonts w:hint="eastAsia" w:hAnsi="Book Antiqua" w:eastAsia="仿宋_GB2312"/>
          <w:sz w:val="32"/>
          <w:szCs w:val="32"/>
        </w:rPr>
        <w:t>聚焦社会关注、群众反映强烈的突出问题，开展矛盾纠纷大排查和定期专项排查；强化全员督查、全过程督查、联合督查；</w:t>
      </w:r>
      <w:r>
        <w:rPr>
          <w:rFonts w:hint="eastAsia" w:ascii="仿宋_GB2312" w:eastAsia="仿宋_GB2312"/>
          <w:sz w:val="32"/>
          <w:szCs w:val="32"/>
        </w:rPr>
        <w:t>发挥各级领导干部示范带头作用。</w:t>
      </w:r>
    </w:p>
    <w:p w14:paraId="76DACA48">
      <w:pPr>
        <w:spacing w:line="560" w:lineRule="exact"/>
        <w:ind w:firstLine="640" w:firstLineChars="200"/>
        <w:rPr>
          <w:rFonts w:hAnsi="Book Antiqua" w:eastAsia="仿宋_GB2312"/>
          <w:sz w:val="32"/>
          <w:szCs w:val="32"/>
        </w:rPr>
      </w:pPr>
      <w:r>
        <w:rPr>
          <w:rFonts w:ascii="仿宋_GB2312" w:eastAsia="仿宋_GB2312"/>
          <w:sz w:val="32"/>
          <w:szCs w:val="32"/>
        </w:rPr>
        <w:t>3</w:t>
      </w:r>
      <w:r>
        <w:rPr>
          <w:rFonts w:hint="eastAsia" w:ascii="仿宋_GB2312" w:eastAsia="仿宋_GB2312"/>
          <w:sz w:val="32"/>
          <w:szCs w:val="32"/>
        </w:rPr>
        <w:t>.</w:t>
      </w:r>
      <w:r>
        <w:rPr>
          <w:rFonts w:hint="eastAsia" w:ascii="楷体_GB2312" w:eastAsia="楷体_GB2312"/>
          <w:sz w:val="32"/>
          <w:szCs w:val="32"/>
        </w:rPr>
        <w:t>深化风险防控和应急处置，做好各项服务保障。</w:t>
      </w:r>
      <w:r>
        <w:rPr>
          <w:rFonts w:hint="eastAsia" w:ascii="仿宋_GB2312" w:eastAsia="仿宋_GB2312"/>
          <w:sz w:val="32"/>
          <w:szCs w:val="32"/>
        </w:rPr>
        <w:t>完善信息预警、预判机制，妥善处理行动性、群体性、极端性信息，提高防范处置的针对性和有效性；加强重复信访和疑难复杂事项研究，多方施策，推动问题解决；坚持依法信访宣传引导，协调配合公安机关做好信访秩序维护工作。</w:t>
      </w:r>
    </w:p>
    <w:p w14:paraId="1C420354">
      <w:pPr>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w:t>
      </w:r>
      <w:r>
        <w:rPr>
          <w:rFonts w:hint="eastAsia" w:ascii="楷体_GB2312" w:eastAsia="楷体_GB2312"/>
          <w:sz w:val="32"/>
          <w:szCs w:val="32"/>
        </w:rPr>
        <w:t>强化信访调研和理论研究，以理论创新引领实践创新。</w:t>
      </w:r>
      <w:r>
        <w:rPr>
          <w:rFonts w:hint="eastAsia" w:ascii="仿宋_GB2312" w:eastAsia="仿宋_GB2312"/>
          <w:sz w:val="32"/>
          <w:szCs w:val="32"/>
        </w:rPr>
        <w:t>以事关改革发展稳定的重大问题，事关人民群众切身利益的热点难点问题为重点，着眼探索规律、解决问题，为党委政府科学决策提供支持和参考；发挥信访矛盾分析研究中心优势，</w:t>
      </w:r>
      <w:r>
        <w:rPr>
          <w:rFonts w:hint="eastAsia" w:ascii="仿宋_GB2312" w:hAnsi="仿宋" w:eastAsia="仿宋_GB2312"/>
          <w:sz w:val="32"/>
          <w:szCs w:val="32"/>
        </w:rPr>
        <w:t>主动构建信访理论与实践交融的平台</w:t>
      </w:r>
      <w:r>
        <w:rPr>
          <w:rFonts w:hint="eastAsia" w:ascii="仿宋_GB2312" w:eastAsia="仿宋_GB2312"/>
          <w:sz w:val="32"/>
          <w:szCs w:val="32"/>
        </w:rPr>
        <w:t>。</w:t>
      </w:r>
    </w:p>
    <w:p w14:paraId="02F6BD65">
      <w:pPr>
        <w:spacing w:line="560" w:lineRule="exact"/>
        <w:ind w:firstLine="640" w:firstLineChars="200"/>
        <w:rPr>
          <w:rFonts w:ascii="仿宋_GB2312" w:eastAsia="仿宋_GB2312"/>
          <w:sz w:val="32"/>
          <w:szCs w:val="32"/>
        </w:rPr>
      </w:pPr>
      <w:r>
        <w:rPr>
          <w:rFonts w:hint="eastAsia" w:ascii="仿宋_GB2312" w:eastAsia="仿宋_GB2312"/>
          <w:sz w:val="32"/>
          <w:szCs w:val="32"/>
        </w:rPr>
        <w:t>（二）2020年部门预算项目</w:t>
      </w:r>
    </w:p>
    <w:p w14:paraId="389B5034">
      <w:pPr>
        <w:spacing w:line="560" w:lineRule="exact"/>
        <w:ind w:firstLine="640" w:firstLineChars="200"/>
        <w:rPr>
          <w:rFonts w:ascii="仿宋_GB2312" w:eastAsia="仿宋_GB2312"/>
          <w:sz w:val="32"/>
          <w:szCs w:val="32"/>
        </w:rPr>
      </w:pPr>
      <w:r>
        <w:rPr>
          <w:rFonts w:hint="eastAsia" w:ascii="仿宋_GB2312" w:eastAsia="仿宋_GB2312"/>
          <w:sz w:val="32"/>
          <w:szCs w:val="32"/>
        </w:rPr>
        <w:t>主要为“接访场所保障费”、“系统运维费”、“信访专项综合业务费”、“信访矛盾研究中心工作经费”、“信访日常工作经费”等10个项目。</w:t>
      </w:r>
    </w:p>
    <w:p w14:paraId="370EEA33">
      <w:pPr>
        <w:spacing w:line="560" w:lineRule="exact"/>
        <w:ind w:firstLine="640" w:firstLineChars="200"/>
        <w:rPr>
          <w:rFonts w:ascii="仿宋_GB2312" w:eastAsia="仿宋_GB2312"/>
          <w:sz w:val="32"/>
          <w:szCs w:val="32"/>
        </w:rPr>
      </w:pPr>
      <w:r>
        <w:rPr>
          <w:rFonts w:hint="eastAsia" w:ascii="仿宋_GB2312" w:eastAsia="仿宋_GB2312"/>
          <w:sz w:val="32"/>
          <w:szCs w:val="32"/>
        </w:rPr>
        <w:t>四、部门“三公”经费财政拨款预算说明</w:t>
      </w:r>
    </w:p>
    <w:p w14:paraId="61EEF828">
      <w:pPr>
        <w:spacing w:line="560" w:lineRule="exact"/>
        <w:ind w:firstLine="640" w:firstLineChars="200"/>
        <w:rPr>
          <w:rFonts w:ascii="仿宋_GB2312" w:eastAsia="仿宋_GB2312"/>
          <w:sz w:val="32"/>
          <w:szCs w:val="32"/>
        </w:rPr>
      </w:pPr>
      <w:r>
        <w:rPr>
          <w:rFonts w:hint="eastAsia" w:ascii="仿宋_GB2312" w:eastAsia="仿宋_GB2312"/>
          <w:sz w:val="32"/>
          <w:szCs w:val="32"/>
        </w:rPr>
        <w:t>（一）“三公”经费的单位范围</w:t>
      </w:r>
    </w:p>
    <w:p w14:paraId="21C9DB8B">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北京市信访办公室因公出国（境）费用、公务接待费、公务用车购置和运行维护费开支单位包括北京市信访办公室本级行政和2个事业单位（非独立核算预算单位）。</w:t>
      </w:r>
    </w:p>
    <w:p w14:paraId="28C203AD">
      <w:pPr>
        <w:spacing w:line="560" w:lineRule="exact"/>
        <w:ind w:firstLine="640" w:firstLineChars="200"/>
        <w:rPr>
          <w:rFonts w:ascii="仿宋_GB2312" w:eastAsia="仿宋_GB2312"/>
          <w:sz w:val="32"/>
          <w:szCs w:val="32"/>
        </w:rPr>
      </w:pPr>
      <w:r>
        <w:rPr>
          <w:rFonts w:hint="eastAsia" w:ascii="仿宋_GB2312" w:eastAsia="仿宋_GB2312"/>
          <w:sz w:val="32"/>
          <w:szCs w:val="32"/>
        </w:rPr>
        <w:t>（二）“三公”经费预算财政拨款情况说明</w:t>
      </w:r>
    </w:p>
    <w:p w14:paraId="5DF6DC24">
      <w:pPr>
        <w:spacing w:line="560" w:lineRule="exact"/>
        <w:ind w:firstLine="640" w:firstLineChars="200"/>
        <w:rPr>
          <w:rFonts w:ascii="仿宋_GB2312" w:eastAsia="仿宋_GB2312"/>
          <w:sz w:val="32"/>
          <w:szCs w:val="32"/>
        </w:rPr>
      </w:pPr>
      <w:r>
        <w:rPr>
          <w:rFonts w:hint="eastAsia" w:ascii="仿宋_GB2312" w:eastAsia="仿宋_GB2312"/>
          <w:sz w:val="32"/>
          <w:szCs w:val="32"/>
        </w:rPr>
        <w:t>2020年“三公”经费财政拨款预算47.68万元，比2019年“三公”经费</w:t>
      </w:r>
      <w:bookmarkStart w:id="0" w:name="_GoBack"/>
      <w:bookmarkEnd w:id="0"/>
      <w:r>
        <w:rPr>
          <w:rFonts w:hint="eastAsia" w:ascii="仿宋_GB2312" w:eastAsia="仿宋_GB2312"/>
          <w:sz w:val="32"/>
          <w:szCs w:val="32"/>
        </w:rPr>
        <w:t>财政拨款预算减少11.05万元。其中：</w:t>
      </w:r>
    </w:p>
    <w:p w14:paraId="28625258">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1.因公出国（境）费用。2020年预算数39万元，与2019年预算数39万元持平。2020年因公出国（境）费用主要用于课题调研与理论研究、国际交流合作等方面。</w:t>
      </w:r>
    </w:p>
    <w:p w14:paraId="66413FDE">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2.公务接待费。2020年预算数8.68万元，比2019年预算数19.73万元减少11.05万元，主要原因：严格控制公务接待。2020年公务接待费主要用于各单位接待支出等方面。</w:t>
      </w:r>
    </w:p>
    <w:p w14:paraId="778C0249">
      <w:pPr>
        <w:spacing w:line="560" w:lineRule="exact"/>
        <w:ind w:firstLine="640" w:firstLineChars="200"/>
        <w:rPr>
          <w:rFonts w:ascii="仿宋_GB2312" w:eastAsia="仿宋_GB2312"/>
          <w:sz w:val="32"/>
          <w:szCs w:val="32"/>
        </w:rPr>
      </w:pPr>
      <w:r>
        <w:rPr>
          <w:rFonts w:hint="eastAsia" w:ascii="仿宋_GB2312" w:eastAsia="仿宋_GB2312"/>
          <w:sz w:val="32"/>
          <w:szCs w:val="32"/>
        </w:rPr>
        <w:t>3.公务用车购置和运行维护费。2020年预算数0万元，其中，公务用车购置费2020年预算数0万元，与2019年</w:t>
      </w:r>
      <w:r>
        <w:rPr>
          <w:rFonts w:ascii="仿宋_GB2312" w:eastAsia="仿宋_GB2312"/>
          <w:sz w:val="32"/>
          <w:szCs w:val="32"/>
        </w:rPr>
        <w:t>持平</w:t>
      </w:r>
      <w:r>
        <w:rPr>
          <w:rFonts w:hint="eastAsia" w:ascii="仿宋_GB2312" w:eastAsia="仿宋_GB2312"/>
          <w:sz w:val="32"/>
          <w:szCs w:val="32"/>
        </w:rPr>
        <w:t>；公务用车运行维护费2020年预算数0万元，与2019年</w:t>
      </w:r>
      <w:r>
        <w:rPr>
          <w:rFonts w:ascii="仿宋_GB2312" w:eastAsia="仿宋_GB2312"/>
          <w:sz w:val="32"/>
          <w:szCs w:val="32"/>
        </w:rPr>
        <w:t>持平</w:t>
      </w:r>
      <w:r>
        <w:rPr>
          <w:rFonts w:hint="eastAsia" w:ascii="仿宋_GB2312" w:eastAsia="仿宋_GB2312"/>
          <w:sz w:val="32"/>
          <w:szCs w:val="32"/>
        </w:rPr>
        <w:t>。</w:t>
      </w:r>
    </w:p>
    <w:p w14:paraId="3DB0D5D2">
      <w:pPr>
        <w:spacing w:line="560" w:lineRule="exact"/>
        <w:ind w:firstLine="640" w:firstLineChars="200"/>
        <w:rPr>
          <w:rFonts w:ascii="仿宋_GB2312" w:eastAsia="仿宋_GB2312"/>
          <w:sz w:val="32"/>
          <w:szCs w:val="32"/>
        </w:rPr>
      </w:pPr>
      <w:r>
        <w:rPr>
          <w:rFonts w:hint="eastAsia" w:ascii="仿宋_GB2312" w:eastAsia="仿宋_GB2312"/>
          <w:sz w:val="32"/>
          <w:szCs w:val="32"/>
        </w:rPr>
        <w:t>五、其他情况说明</w:t>
      </w:r>
    </w:p>
    <w:p w14:paraId="222EE451">
      <w:pPr>
        <w:spacing w:line="560" w:lineRule="exact"/>
        <w:ind w:firstLine="640" w:firstLineChars="200"/>
        <w:rPr>
          <w:rFonts w:ascii="仿宋_GB2312" w:eastAsia="仿宋_GB2312"/>
          <w:sz w:val="32"/>
          <w:szCs w:val="32"/>
        </w:rPr>
      </w:pPr>
      <w:r>
        <w:rPr>
          <w:rFonts w:hint="eastAsia" w:ascii="仿宋_GB2312" w:eastAsia="仿宋_GB2312"/>
          <w:sz w:val="32"/>
          <w:szCs w:val="32"/>
        </w:rPr>
        <w:t>（一）政府采购预算说明</w:t>
      </w:r>
    </w:p>
    <w:p w14:paraId="28353DD2">
      <w:pPr>
        <w:spacing w:line="560" w:lineRule="exact"/>
        <w:ind w:firstLine="640" w:firstLineChars="200"/>
        <w:rPr>
          <w:rFonts w:ascii="仿宋_GB2312" w:eastAsia="仿宋_GB2312"/>
          <w:sz w:val="32"/>
          <w:szCs w:val="32"/>
        </w:rPr>
      </w:pPr>
      <w:r>
        <w:rPr>
          <w:rFonts w:hint="eastAsia" w:ascii="仿宋_GB2312" w:eastAsia="仿宋_GB2312"/>
          <w:sz w:val="32"/>
          <w:szCs w:val="32"/>
        </w:rPr>
        <w:t>2020年北京市信访办公室政府采购预算总额726.34万元，其中：政府采购货物预算0万元，政府采购工程预算0万元，政府采购服务预算726.34万元。</w:t>
      </w:r>
    </w:p>
    <w:p w14:paraId="53528F10">
      <w:pPr>
        <w:spacing w:line="560" w:lineRule="exact"/>
        <w:ind w:firstLine="640" w:firstLineChars="200"/>
        <w:rPr>
          <w:rFonts w:ascii="仿宋_GB2312" w:eastAsia="仿宋_GB2312"/>
          <w:sz w:val="32"/>
          <w:szCs w:val="32"/>
        </w:rPr>
      </w:pPr>
      <w:r>
        <w:rPr>
          <w:rFonts w:hint="eastAsia" w:ascii="仿宋_GB2312" w:eastAsia="仿宋_GB2312"/>
          <w:sz w:val="32"/>
          <w:szCs w:val="32"/>
        </w:rPr>
        <w:t>（二）政府购买服务预算说明</w:t>
      </w:r>
    </w:p>
    <w:p w14:paraId="133EEEF7">
      <w:pPr>
        <w:spacing w:line="560" w:lineRule="exact"/>
        <w:ind w:firstLine="640" w:firstLineChars="200"/>
        <w:rPr>
          <w:rFonts w:ascii="仿宋_GB2312" w:eastAsia="仿宋_GB2312"/>
          <w:sz w:val="32"/>
          <w:szCs w:val="32"/>
        </w:rPr>
      </w:pPr>
      <w:r>
        <w:rPr>
          <w:rFonts w:hint="eastAsia" w:ascii="仿宋_GB2312" w:eastAsia="仿宋_GB2312"/>
          <w:sz w:val="32"/>
          <w:szCs w:val="32"/>
        </w:rPr>
        <w:t>本部门2020年无政府购买服务预算。</w:t>
      </w:r>
    </w:p>
    <w:p w14:paraId="16CBA48D">
      <w:pPr>
        <w:spacing w:line="560" w:lineRule="exact"/>
        <w:ind w:firstLine="640" w:firstLineChars="200"/>
        <w:rPr>
          <w:rFonts w:ascii="仿宋_GB2312" w:eastAsia="仿宋_GB2312"/>
          <w:sz w:val="32"/>
          <w:szCs w:val="32"/>
        </w:rPr>
      </w:pPr>
      <w:r>
        <w:rPr>
          <w:rFonts w:hint="eastAsia" w:ascii="仿宋_GB2312" w:eastAsia="仿宋_GB2312"/>
          <w:sz w:val="32"/>
          <w:szCs w:val="32"/>
        </w:rPr>
        <w:t>（三）机关运行经费说明</w:t>
      </w:r>
    </w:p>
    <w:p w14:paraId="2BB1FF52">
      <w:pPr>
        <w:spacing w:line="560" w:lineRule="exact"/>
        <w:ind w:firstLine="640" w:firstLineChars="200"/>
        <w:rPr>
          <w:rFonts w:ascii="仿宋_GB2312" w:eastAsia="仿宋_GB2312"/>
          <w:sz w:val="32"/>
          <w:szCs w:val="32"/>
        </w:rPr>
      </w:pPr>
      <w:r>
        <w:rPr>
          <w:rFonts w:hint="eastAsia" w:ascii="仿宋_GB2312" w:eastAsia="仿宋_GB2312"/>
          <w:sz w:val="32"/>
          <w:szCs w:val="32"/>
        </w:rPr>
        <w:t>2020年北京市信访办公室本级等1家行政单位的机关运行经费财政拨款预算663.74万元。</w:t>
      </w:r>
    </w:p>
    <w:p w14:paraId="468E58FA">
      <w:pPr>
        <w:spacing w:line="560" w:lineRule="exact"/>
        <w:ind w:firstLine="640" w:firstLineChars="200"/>
        <w:rPr>
          <w:rFonts w:ascii="仿宋_GB2312" w:eastAsia="仿宋_GB2312"/>
          <w:sz w:val="32"/>
          <w:szCs w:val="32"/>
        </w:rPr>
      </w:pPr>
      <w:r>
        <w:rPr>
          <w:rFonts w:hint="eastAsia" w:ascii="仿宋_GB2312" w:eastAsia="仿宋_GB2312"/>
          <w:sz w:val="32"/>
          <w:szCs w:val="32"/>
        </w:rPr>
        <w:t>（四）项目支出绩效目标情况说明</w:t>
      </w:r>
    </w:p>
    <w:p w14:paraId="0FA95FBE">
      <w:pPr>
        <w:spacing w:line="560" w:lineRule="exact"/>
        <w:ind w:firstLine="640" w:firstLineChars="200"/>
        <w:rPr>
          <w:rFonts w:ascii="仿宋_GB2312" w:eastAsia="仿宋_GB2312"/>
          <w:sz w:val="32"/>
          <w:szCs w:val="32"/>
        </w:rPr>
      </w:pPr>
      <w:r>
        <w:rPr>
          <w:rFonts w:hint="eastAsia" w:ascii="仿宋_GB2312" w:eastAsia="仿宋_GB2312"/>
          <w:sz w:val="32"/>
          <w:szCs w:val="32"/>
        </w:rPr>
        <w:t>2020年，北京市信访办公室填报绩效目标的预算项目5个，占本部门全部预算项目10个的50%。填报绩效目标的项目支出预算1716.88万元，占全部项目支出预算的58.29</w:t>
      </w:r>
      <w:r>
        <w:rPr>
          <w:rFonts w:ascii="仿宋_GB2312" w:eastAsia="仿宋_GB2312"/>
          <w:sz w:val="32"/>
          <w:szCs w:val="32"/>
        </w:rPr>
        <w:t>%</w:t>
      </w:r>
      <w:r>
        <w:rPr>
          <w:rFonts w:hint="eastAsia" w:ascii="仿宋_GB2312" w:eastAsia="仿宋_GB2312"/>
          <w:sz w:val="32"/>
          <w:szCs w:val="32"/>
        </w:rPr>
        <w:t>。</w:t>
      </w:r>
    </w:p>
    <w:p w14:paraId="0BF957DB">
      <w:pPr>
        <w:spacing w:line="560" w:lineRule="exact"/>
        <w:ind w:firstLine="640" w:firstLineChars="200"/>
        <w:rPr>
          <w:rFonts w:ascii="仿宋_GB2312" w:eastAsia="仿宋_GB2312"/>
          <w:sz w:val="32"/>
          <w:szCs w:val="32"/>
        </w:rPr>
      </w:pPr>
      <w:r>
        <w:rPr>
          <w:rFonts w:hint="eastAsia" w:ascii="仿宋_GB2312" w:eastAsia="仿宋_GB2312"/>
          <w:sz w:val="32"/>
          <w:szCs w:val="32"/>
        </w:rPr>
        <w:t>（五）重点行政事业性收费情况说明</w:t>
      </w:r>
    </w:p>
    <w:p w14:paraId="3909F30E">
      <w:pPr>
        <w:spacing w:line="560" w:lineRule="exact"/>
        <w:ind w:firstLine="640" w:firstLineChars="200"/>
        <w:rPr>
          <w:rFonts w:ascii="仿宋_GB2312" w:eastAsia="仿宋_GB2312"/>
          <w:sz w:val="32"/>
          <w:szCs w:val="32"/>
        </w:rPr>
      </w:pPr>
      <w:r>
        <w:rPr>
          <w:rFonts w:hint="eastAsia" w:ascii="仿宋_GB2312" w:eastAsia="仿宋_GB2312"/>
          <w:sz w:val="32"/>
          <w:szCs w:val="32"/>
        </w:rPr>
        <w:t>本部门2020年无重点行政事业性收费。</w:t>
      </w:r>
    </w:p>
    <w:p w14:paraId="104DA012">
      <w:pPr>
        <w:spacing w:line="560" w:lineRule="exact"/>
        <w:ind w:firstLine="640" w:firstLineChars="200"/>
        <w:rPr>
          <w:rFonts w:ascii="仿宋_GB2312" w:eastAsia="仿宋_GB2312"/>
          <w:sz w:val="32"/>
          <w:szCs w:val="32"/>
        </w:rPr>
      </w:pPr>
      <w:r>
        <w:rPr>
          <w:rFonts w:hint="eastAsia" w:ascii="仿宋_GB2312" w:eastAsia="仿宋_GB2312"/>
          <w:sz w:val="32"/>
          <w:szCs w:val="32"/>
        </w:rPr>
        <w:t>（六）国有资本经营预算财政拨款情况说明</w:t>
      </w:r>
    </w:p>
    <w:p w14:paraId="2384099A">
      <w:pPr>
        <w:spacing w:line="560" w:lineRule="exact"/>
        <w:ind w:firstLine="640" w:firstLineChars="200"/>
        <w:rPr>
          <w:rFonts w:ascii="仿宋_GB2312" w:eastAsia="仿宋_GB2312"/>
          <w:sz w:val="32"/>
          <w:szCs w:val="32"/>
        </w:rPr>
      </w:pPr>
      <w:r>
        <w:rPr>
          <w:rFonts w:hint="eastAsia" w:ascii="仿宋_GB2312" w:eastAsia="仿宋_GB2312"/>
          <w:sz w:val="32"/>
          <w:szCs w:val="32"/>
        </w:rPr>
        <w:t>本部门2020年无国有资本经营预算财政拨款安排的预算。</w:t>
      </w:r>
    </w:p>
    <w:p w14:paraId="46BD14B0">
      <w:pPr>
        <w:numPr>
          <w:ilvl w:val="0"/>
          <w:numId w:val="2"/>
        </w:numPr>
        <w:spacing w:line="560" w:lineRule="exact"/>
        <w:ind w:firstLine="640" w:firstLineChars="200"/>
        <w:rPr>
          <w:rFonts w:ascii="仿宋_GB2312" w:eastAsia="仿宋_GB2312"/>
          <w:sz w:val="32"/>
          <w:szCs w:val="32"/>
        </w:rPr>
      </w:pPr>
      <w:r>
        <w:rPr>
          <w:rFonts w:hint="eastAsia" w:ascii="仿宋_GB2312" w:eastAsia="仿宋_GB2312"/>
          <w:sz w:val="32"/>
          <w:szCs w:val="32"/>
        </w:rPr>
        <w:t>国有</w:t>
      </w:r>
      <w:r>
        <w:rPr>
          <w:rFonts w:ascii="仿宋_GB2312" w:eastAsia="仿宋_GB2312"/>
          <w:sz w:val="32"/>
          <w:szCs w:val="32"/>
        </w:rPr>
        <w:t>资产占用情况说明</w:t>
      </w:r>
    </w:p>
    <w:p w14:paraId="1E41FDDA">
      <w:pPr>
        <w:spacing w:line="560" w:lineRule="exact"/>
        <w:ind w:firstLine="640" w:firstLineChars="200"/>
        <w:rPr>
          <w:rFonts w:ascii="仿宋_GB2312" w:eastAsia="仿宋_GB2312"/>
          <w:sz w:val="32"/>
          <w:szCs w:val="32"/>
        </w:rPr>
      </w:pPr>
      <w:r>
        <w:rPr>
          <w:rFonts w:hint="eastAsia" w:ascii="仿宋_GB2312" w:eastAsia="仿宋_GB2312"/>
          <w:sz w:val="32"/>
          <w:szCs w:val="32"/>
        </w:rPr>
        <w:t>截至2019年底，北京市信访办公室部共有车辆0台，0万元；单位价值50万元以上的通用设备17台（套）、3356.39万元，单位价值100万元以上的专用设备0台（套）、0万元。</w:t>
      </w:r>
    </w:p>
    <w:p w14:paraId="2ABB82E0">
      <w:pPr>
        <w:spacing w:line="560" w:lineRule="exact"/>
        <w:ind w:firstLine="640" w:firstLineChars="200"/>
        <w:rPr>
          <w:rFonts w:ascii="仿宋_GB2312" w:eastAsia="仿宋_GB2312"/>
          <w:sz w:val="32"/>
          <w:szCs w:val="32"/>
        </w:rPr>
      </w:pPr>
      <w:r>
        <w:rPr>
          <w:rFonts w:hint="eastAsia" w:ascii="仿宋_GB2312" w:eastAsia="仿宋_GB2312"/>
          <w:sz w:val="32"/>
          <w:szCs w:val="32"/>
        </w:rPr>
        <w:t>六</w:t>
      </w:r>
      <w:r>
        <w:rPr>
          <w:rFonts w:ascii="仿宋_GB2312" w:eastAsia="仿宋_GB2312"/>
          <w:sz w:val="32"/>
          <w:szCs w:val="32"/>
        </w:rPr>
        <w:t>、名词解释</w:t>
      </w:r>
    </w:p>
    <w:p w14:paraId="2BC4844A">
      <w:pPr>
        <w:spacing w:line="560" w:lineRule="exact"/>
        <w:ind w:firstLine="640" w:firstLineChars="200"/>
        <w:rPr>
          <w:rFonts w:ascii="仿宋_GB2312" w:eastAsia="仿宋_GB2312"/>
          <w:sz w:val="32"/>
          <w:szCs w:val="32"/>
        </w:rPr>
      </w:pPr>
      <w:r>
        <w:rPr>
          <w:rFonts w:hint="eastAsia" w:ascii="仿宋_GB2312" w:eastAsia="仿宋_GB2312"/>
          <w:sz w:val="32"/>
          <w:szCs w:val="32"/>
        </w:rPr>
        <w:t>“三公”经费财政拨款预算数：指本部门当年部门预算安排的因公出国(境)费用、公务接待费、公务用车购置和运行维护费预算数。</w:t>
      </w:r>
    </w:p>
    <w:p w14:paraId="66D1BA8C">
      <w:pPr>
        <w:spacing w:line="560" w:lineRule="exact"/>
        <w:ind w:firstLine="640" w:firstLineChars="200"/>
        <w:rPr>
          <w:rFonts w:ascii="仿宋_GB2312" w:eastAsia="仿宋_GB2312"/>
          <w:sz w:val="32"/>
          <w:szCs w:val="32"/>
        </w:rPr>
      </w:pPr>
      <w:r>
        <w:rPr>
          <w:rFonts w:hint="eastAsia" w:ascii="仿宋_GB2312" w:eastAsia="仿宋_GB2312"/>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5118CD5">
      <w:pPr>
        <w:spacing w:line="560" w:lineRule="exact"/>
        <w:ind w:firstLine="640" w:firstLineChars="200"/>
        <w:rPr>
          <w:rFonts w:ascii="仿宋_GB2312" w:eastAsia="仿宋_GB2312"/>
          <w:sz w:val="32"/>
          <w:szCs w:val="32"/>
        </w:rPr>
      </w:pPr>
      <w:r>
        <w:rPr>
          <w:rFonts w:hint="eastAsia" w:ascii="仿宋_GB2312" w:eastAsia="仿宋_GB2312"/>
          <w:sz w:val="32"/>
          <w:szCs w:val="32"/>
        </w:rPr>
        <w:t>政府采购：指各级国家机关、事业单位和团体组织，使用财政性资金采购依法制定的集中采购目录以内的或者采购限额标准以上的货物、工程和服务的行为。</w:t>
      </w:r>
    </w:p>
    <w:p w14:paraId="607EEC29">
      <w:pPr>
        <w:spacing w:line="560" w:lineRule="exact"/>
        <w:ind w:firstLine="640" w:firstLineChars="200"/>
        <w:rPr>
          <w:rFonts w:ascii="仿宋_GB2312" w:eastAsia="仿宋_GB2312"/>
          <w:sz w:val="32"/>
          <w:szCs w:val="32"/>
        </w:rPr>
      </w:pPr>
    </w:p>
    <w:p w14:paraId="7AD423CF">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第二部分2020年部门预算报表</w:t>
      </w:r>
    </w:p>
    <w:p w14:paraId="753DC574">
      <w:pPr>
        <w:spacing w:line="560" w:lineRule="exact"/>
        <w:rPr>
          <w:rFonts w:ascii="仿宋_GB2312" w:eastAsia="仿宋_GB2312"/>
          <w:sz w:val="32"/>
          <w:szCs w:val="32"/>
        </w:rPr>
      </w:pPr>
      <w:r>
        <w:rPr>
          <w:rFonts w:hint="eastAsia" w:ascii="仿宋_GB2312" w:eastAsia="仿宋_GB2312"/>
          <w:color w:val="000000"/>
          <w:sz w:val="32"/>
          <w:szCs w:val="32"/>
        </w:rPr>
        <w:t>附件：北京市信访办公室2020年度部门预算报表</w:t>
      </w:r>
      <w:r>
        <w:rPr>
          <w:rFonts w:hint="eastAsia" w:ascii="仿宋_GB2312" w:eastAsia="仿宋_GB2312" w:cs="宋体"/>
          <w:color w:val="000000"/>
          <w:kern w:val="0"/>
          <w:sz w:val="32"/>
          <w:szCs w:val="32"/>
          <w:lang w:val="zh-CN"/>
        </w:rPr>
        <w:t xml:space="preserve"> （见</w:t>
      </w:r>
      <w:r>
        <w:rPr>
          <w:rFonts w:ascii="仿宋_GB2312" w:eastAsia="仿宋_GB2312" w:cs="宋体"/>
          <w:color w:val="000000"/>
          <w:kern w:val="0"/>
          <w:sz w:val="32"/>
          <w:szCs w:val="32"/>
          <w:lang w:val="zh-CN"/>
        </w:rPr>
        <w:t>附表</w:t>
      </w:r>
      <w:r>
        <w:rPr>
          <w:rFonts w:hint="eastAsia" w:ascii="仿宋_GB2312" w:eastAsia="仿宋_GB2312" w:cs="宋体"/>
          <w:color w:val="000000"/>
          <w:kern w:val="0"/>
          <w:sz w:val="32"/>
          <w:szCs w:val="32"/>
          <w:lang w:val="zh-CN"/>
        </w:rPr>
        <w:t>）</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2CD54">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7</w:t>
    </w:r>
    <w:r>
      <w:rPr>
        <w:rFonts w:ascii="宋体" w:hAnsi="宋体"/>
        <w:sz w:val="28"/>
        <w:szCs w:val="28"/>
      </w:rPr>
      <w:fldChar w:fldCharType="end"/>
    </w:r>
  </w:p>
  <w:p w14:paraId="630E4363">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236DB">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6 -</w:t>
    </w:r>
    <w:r>
      <w:rPr>
        <w:rFonts w:ascii="宋体" w:hAnsi="宋体"/>
        <w:sz w:val="28"/>
        <w:szCs w:val="28"/>
      </w:rPr>
      <w:fldChar w:fldCharType="end"/>
    </w:r>
  </w:p>
  <w:p w14:paraId="088E9E6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BF5E7"/>
    <w:multiLevelType w:val="singleLevel"/>
    <w:tmpl w:val="BFCBF5E7"/>
    <w:lvl w:ilvl="0" w:tentative="0">
      <w:start w:val="3"/>
      <w:numFmt w:val="chineseCounting"/>
      <w:suff w:val="nothing"/>
      <w:lvlText w:val="%1、"/>
      <w:lvlJc w:val="left"/>
      <w:rPr>
        <w:rFonts w:hint="eastAsia"/>
      </w:rPr>
    </w:lvl>
  </w:abstractNum>
  <w:abstractNum w:abstractNumId="1">
    <w:nsid w:val="02EE8829"/>
    <w:multiLevelType w:val="singleLevel"/>
    <w:tmpl w:val="02EE8829"/>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4599"/>
    <w:rsid w:val="00011C00"/>
    <w:rsid w:val="00025B33"/>
    <w:rsid w:val="00041DE4"/>
    <w:rsid w:val="00043BB0"/>
    <w:rsid w:val="00044516"/>
    <w:rsid w:val="00056762"/>
    <w:rsid w:val="0006339E"/>
    <w:rsid w:val="00064DA2"/>
    <w:rsid w:val="00066562"/>
    <w:rsid w:val="00075845"/>
    <w:rsid w:val="000822BA"/>
    <w:rsid w:val="00084EC8"/>
    <w:rsid w:val="0009136F"/>
    <w:rsid w:val="00094179"/>
    <w:rsid w:val="000978D3"/>
    <w:rsid w:val="000A26D7"/>
    <w:rsid w:val="000A57BC"/>
    <w:rsid w:val="000F35CE"/>
    <w:rsid w:val="000F626F"/>
    <w:rsid w:val="000F7C45"/>
    <w:rsid w:val="001156BD"/>
    <w:rsid w:val="00117ECC"/>
    <w:rsid w:val="00117EF2"/>
    <w:rsid w:val="00121006"/>
    <w:rsid w:val="00126573"/>
    <w:rsid w:val="0014039E"/>
    <w:rsid w:val="00144E48"/>
    <w:rsid w:val="00154CBF"/>
    <w:rsid w:val="00166219"/>
    <w:rsid w:val="00172E47"/>
    <w:rsid w:val="00175A0D"/>
    <w:rsid w:val="001844AF"/>
    <w:rsid w:val="00184772"/>
    <w:rsid w:val="00194D4C"/>
    <w:rsid w:val="001A3234"/>
    <w:rsid w:val="001A391C"/>
    <w:rsid w:val="001B65DB"/>
    <w:rsid w:val="001C0379"/>
    <w:rsid w:val="001C6040"/>
    <w:rsid w:val="001C6415"/>
    <w:rsid w:val="001D0C4D"/>
    <w:rsid w:val="001D1E96"/>
    <w:rsid w:val="001D5A75"/>
    <w:rsid w:val="001D76AB"/>
    <w:rsid w:val="001F04FF"/>
    <w:rsid w:val="001F0D68"/>
    <w:rsid w:val="0020213B"/>
    <w:rsid w:val="002117FC"/>
    <w:rsid w:val="002140B7"/>
    <w:rsid w:val="0022536D"/>
    <w:rsid w:val="002276AB"/>
    <w:rsid w:val="00230ED2"/>
    <w:rsid w:val="002344CA"/>
    <w:rsid w:val="00234E4B"/>
    <w:rsid w:val="00236BE8"/>
    <w:rsid w:val="00236FC7"/>
    <w:rsid w:val="002439A7"/>
    <w:rsid w:val="0024730A"/>
    <w:rsid w:val="00270326"/>
    <w:rsid w:val="00283C69"/>
    <w:rsid w:val="00291CBD"/>
    <w:rsid w:val="002960E8"/>
    <w:rsid w:val="002962E0"/>
    <w:rsid w:val="002A1899"/>
    <w:rsid w:val="002A372A"/>
    <w:rsid w:val="002A721D"/>
    <w:rsid w:val="002C789C"/>
    <w:rsid w:val="002D1E38"/>
    <w:rsid w:val="002D6BAF"/>
    <w:rsid w:val="002D7E47"/>
    <w:rsid w:val="002E4F2A"/>
    <w:rsid w:val="002F1A7E"/>
    <w:rsid w:val="00305ECA"/>
    <w:rsid w:val="003123D2"/>
    <w:rsid w:val="00313A58"/>
    <w:rsid w:val="00316619"/>
    <w:rsid w:val="0032191E"/>
    <w:rsid w:val="0032287B"/>
    <w:rsid w:val="00322C97"/>
    <w:rsid w:val="0033786E"/>
    <w:rsid w:val="00351D53"/>
    <w:rsid w:val="0036063C"/>
    <w:rsid w:val="003612F5"/>
    <w:rsid w:val="00362F4D"/>
    <w:rsid w:val="00371A9A"/>
    <w:rsid w:val="003868CE"/>
    <w:rsid w:val="003A2C21"/>
    <w:rsid w:val="003B520C"/>
    <w:rsid w:val="003D061C"/>
    <w:rsid w:val="003D2550"/>
    <w:rsid w:val="003D4DDE"/>
    <w:rsid w:val="003E78C0"/>
    <w:rsid w:val="003F52D8"/>
    <w:rsid w:val="00402BE4"/>
    <w:rsid w:val="00425ED4"/>
    <w:rsid w:val="00442A08"/>
    <w:rsid w:val="00455CFD"/>
    <w:rsid w:val="0045766A"/>
    <w:rsid w:val="00463456"/>
    <w:rsid w:val="00466964"/>
    <w:rsid w:val="00466BA2"/>
    <w:rsid w:val="004732D8"/>
    <w:rsid w:val="0047337A"/>
    <w:rsid w:val="00476601"/>
    <w:rsid w:val="00476D83"/>
    <w:rsid w:val="0048213C"/>
    <w:rsid w:val="004A210B"/>
    <w:rsid w:val="004A4071"/>
    <w:rsid w:val="004A4647"/>
    <w:rsid w:val="004A6D8E"/>
    <w:rsid w:val="004B36B2"/>
    <w:rsid w:val="004B5668"/>
    <w:rsid w:val="004E70A1"/>
    <w:rsid w:val="004F7A44"/>
    <w:rsid w:val="005136FB"/>
    <w:rsid w:val="00527354"/>
    <w:rsid w:val="0055734E"/>
    <w:rsid w:val="00561BA7"/>
    <w:rsid w:val="00564050"/>
    <w:rsid w:val="005739D0"/>
    <w:rsid w:val="00584558"/>
    <w:rsid w:val="00586421"/>
    <w:rsid w:val="00595CFF"/>
    <w:rsid w:val="005B0DAC"/>
    <w:rsid w:val="005B1DC0"/>
    <w:rsid w:val="005C0F45"/>
    <w:rsid w:val="005C26B2"/>
    <w:rsid w:val="005C26C3"/>
    <w:rsid w:val="005C5B1C"/>
    <w:rsid w:val="005D4EF3"/>
    <w:rsid w:val="005E25F5"/>
    <w:rsid w:val="005E3615"/>
    <w:rsid w:val="005E7B0B"/>
    <w:rsid w:val="005F17EA"/>
    <w:rsid w:val="005F4074"/>
    <w:rsid w:val="00607F7C"/>
    <w:rsid w:val="006148D8"/>
    <w:rsid w:val="00620F26"/>
    <w:rsid w:val="0062293C"/>
    <w:rsid w:val="00625FB5"/>
    <w:rsid w:val="006274C5"/>
    <w:rsid w:val="00654810"/>
    <w:rsid w:val="00656E75"/>
    <w:rsid w:val="00657D75"/>
    <w:rsid w:val="00670E8E"/>
    <w:rsid w:val="00684EDD"/>
    <w:rsid w:val="0069049B"/>
    <w:rsid w:val="00691ADB"/>
    <w:rsid w:val="00692298"/>
    <w:rsid w:val="00692323"/>
    <w:rsid w:val="006C7666"/>
    <w:rsid w:val="006D56AC"/>
    <w:rsid w:val="006E2088"/>
    <w:rsid w:val="006F20DF"/>
    <w:rsid w:val="00700669"/>
    <w:rsid w:val="007016F0"/>
    <w:rsid w:val="007026AF"/>
    <w:rsid w:val="00702902"/>
    <w:rsid w:val="00710731"/>
    <w:rsid w:val="007110C8"/>
    <w:rsid w:val="0071146D"/>
    <w:rsid w:val="00720114"/>
    <w:rsid w:val="00746A30"/>
    <w:rsid w:val="00752980"/>
    <w:rsid w:val="00754D84"/>
    <w:rsid w:val="0077032F"/>
    <w:rsid w:val="0079247C"/>
    <w:rsid w:val="007A10F9"/>
    <w:rsid w:val="007A3AAD"/>
    <w:rsid w:val="007B139D"/>
    <w:rsid w:val="007C2E22"/>
    <w:rsid w:val="007D0B09"/>
    <w:rsid w:val="007E3265"/>
    <w:rsid w:val="007F0A6E"/>
    <w:rsid w:val="007F0B4C"/>
    <w:rsid w:val="008062E6"/>
    <w:rsid w:val="008123F6"/>
    <w:rsid w:val="0081765B"/>
    <w:rsid w:val="00823DFB"/>
    <w:rsid w:val="00824D3B"/>
    <w:rsid w:val="0082630D"/>
    <w:rsid w:val="0083024A"/>
    <w:rsid w:val="00831BC7"/>
    <w:rsid w:val="0083557B"/>
    <w:rsid w:val="00835945"/>
    <w:rsid w:val="00836141"/>
    <w:rsid w:val="00845230"/>
    <w:rsid w:val="00854FF3"/>
    <w:rsid w:val="008613DC"/>
    <w:rsid w:val="0086352A"/>
    <w:rsid w:val="0088259A"/>
    <w:rsid w:val="00885A03"/>
    <w:rsid w:val="00891E8C"/>
    <w:rsid w:val="008B0050"/>
    <w:rsid w:val="008E4C40"/>
    <w:rsid w:val="008E7FBE"/>
    <w:rsid w:val="00911AA2"/>
    <w:rsid w:val="009161E7"/>
    <w:rsid w:val="00920A57"/>
    <w:rsid w:val="009354AA"/>
    <w:rsid w:val="00942CE2"/>
    <w:rsid w:val="009456B7"/>
    <w:rsid w:val="00945DB9"/>
    <w:rsid w:val="00954EE3"/>
    <w:rsid w:val="009563AD"/>
    <w:rsid w:val="00965689"/>
    <w:rsid w:val="0097080F"/>
    <w:rsid w:val="0099439B"/>
    <w:rsid w:val="00995D8D"/>
    <w:rsid w:val="009A1F2C"/>
    <w:rsid w:val="009C11C0"/>
    <w:rsid w:val="009C1523"/>
    <w:rsid w:val="009C561C"/>
    <w:rsid w:val="009C6973"/>
    <w:rsid w:val="009D460B"/>
    <w:rsid w:val="009D7E16"/>
    <w:rsid w:val="009E4801"/>
    <w:rsid w:val="009E7D8D"/>
    <w:rsid w:val="009F280F"/>
    <w:rsid w:val="00A049A2"/>
    <w:rsid w:val="00A25031"/>
    <w:rsid w:val="00A4741C"/>
    <w:rsid w:val="00A5415E"/>
    <w:rsid w:val="00A56CA2"/>
    <w:rsid w:val="00A73160"/>
    <w:rsid w:val="00A758A0"/>
    <w:rsid w:val="00A8233E"/>
    <w:rsid w:val="00A84395"/>
    <w:rsid w:val="00A8536B"/>
    <w:rsid w:val="00A8587F"/>
    <w:rsid w:val="00A95028"/>
    <w:rsid w:val="00AA31EE"/>
    <w:rsid w:val="00AA4971"/>
    <w:rsid w:val="00AA6FA7"/>
    <w:rsid w:val="00AB294D"/>
    <w:rsid w:val="00AB3E22"/>
    <w:rsid w:val="00AC35B0"/>
    <w:rsid w:val="00AD3CFF"/>
    <w:rsid w:val="00AD406A"/>
    <w:rsid w:val="00AD7029"/>
    <w:rsid w:val="00AF6697"/>
    <w:rsid w:val="00AF7810"/>
    <w:rsid w:val="00B00FAC"/>
    <w:rsid w:val="00B01E37"/>
    <w:rsid w:val="00B0387F"/>
    <w:rsid w:val="00B07214"/>
    <w:rsid w:val="00B20F60"/>
    <w:rsid w:val="00B22607"/>
    <w:rsid w:val="00B431C8"/>
    <w:rsid w:val="00B61FE5"/>
    <w:rsid w:val="00B66291"/>
    <w:rsid w:val="00B769D5"/>
    <w:rsid w:val="00B827C3"/>
    <w:rsid w:val="00B86B62"/>
    <w:rsid w:val="00B93B26"/>
    <w:rsid w:val="00B9516D"/>
    <w:rsid w:val="00BA202E"/>
    <w:rsid w:val="00BC3092"/>
    <w:rsid w:val="00BC7A46"/>
    <w:rsid w:val="00BC7A78"/>
    <w:rsid w:val="00BD4AAD"/>
    <w:rsid w:val="00BD5CB1"/>
    <w:rsid w:val="00BE12E4"/>
    <w:rsid w:val="00BE148F"/>
    <w:rsid w:val="00BF30B6"/>
    <w:rsid w:val="00BF4FE4"/>
    <w:rsid w:val="00C01092"/>
    <w:rsid w:val="00C0131E"/>
    <w:rsid w:val="00C01546"/>
    <w:rsid w:val="00C176B6"/>
    <w:rsid w:val="00C2528B"/>
    <w:rsid w:val="00C52C81"/>
    <w:rsid w:val="00C60F96"/>
    <w:rsid w:val="00C70846"/>
    <w:rsid w:val="00C73519"/>
    <w:rsid w:val="00C853C9"/>
    <w:rsid w:val="00C87F78"/>
    <w:rsid w:val="00C94E3A"/>
    <w:rsid w:val="00CA3250"/>
    <w:rsid w:val="00CA60EC"/>
    <w:rsid w:val="00CA7116"/>
    <w:rsid w:val="00CB0B24"/>
    <w:rsid w:val="00CB413A"/>
    <w:rsid w:val="00CB6E49"/>
    <w:rsid w:val="00CC16C7"/>
    <w:rsid w:val="00CC4C70"/>
    <w:rsid w:val="00CC6D36"/>
    <w:rsid w:val="00CD1801"/>
    <w:rsid w:val="00CD23A0"/>
    <w:rsid w:val="00CD4717"/>
    <w:rsid w:val="00CE4234"/>
    <w:rsid w:val="00CE4796"/>
    <w:rsid w:val="00CE4D1C"/>
    <w:rsid w:val="00CE4E4D"/>
    <w:rsid w:val="00CE6B54"/>
    <w:rsid w:val="00CE7074"/>
    <w:rsid w:val="00CE7191"/>
    <w:rsid w:val="00CF2E8E"/>
    <w:rsid w:val="00CF36DC"/>
    <w:rsid w:val="00CF442B"/>
    <w:rsid w:val="00D14FFE"/>
    <w:rsid w:val="00D23304"/>
    <w:rsid w:val="00D25599"/>
    <w:rsid w:val="00D32610"/>
    <w:rsid w:val="00D6664F"/>
    <w:rsid w:val="00D72284"/>
    <w:rsid w:val="00D72BBA"/>
    <w:rsid w:val="00D8268F"/>
    <w:rsid w:val="00D87801"/>
    <w:rsid w:val="00D87946"/>
    <w:rsid w:val="00DA42BF"/>
    <w:rsid w:val="00DC4599"/>
    <w:rsid w:val="00DC7C2C"/>
    <w:rsid w:val="00DD0CAC"/>
    <w:rsid w:val="00DD326A"/>
    <w:rsid w:val="00DD58B6"/>
    <w:rsid w:val="00DD63EA"/>
    <w:rsid w:val="00DD7CC2"/>
    <w:rsid w:val="00DE0DF2"/>
    <w:rsid w:val="00DE1EFB"/>
    <w:rsid w:val="00DE230E"/>
    <w:rsid w:val="00E004CB"/>
    <w:rsid w:val="00E00B45"/>
    <w:rsid w:val="00E11331"/>
    <w:rsid w:val="00E242E5"/>
    <w:rsid w:val="00E2582E"/>
    <w:rsid w:val="00E314BC"/>
    <w:rsid w:val="00E356FB"/>
    <w:rsid w:val="00E35A14"/>
    <w:rsid w:val="00E36B31"/>
    <w:rsid w:val="00E37BE7"/>
    <w:rsid w:val="00E42725"/>
    <w:rsid w:val="00E42C71"/>
    <w:rsid w:val="00E44D7E"/>
    <w:rsid w:val="00E50E6A"/>
    <w:rsid w:val="00E8702F"/>
    <w:rsid w:val="00E979CE"/>
    <w:rsid w:val="00EA1FA0"/>
    <w:rsid w:val="00EA5061"/>
    <w:rsid w:val="00EA7C9B"/>
    <w:rsid w:val="00EB7E10"/>
    <w:rsid w:val="00ED69B8"/>
    <w:rsid w:val="00ED7F38"/>
    <w:rsid w:val="00EF25B6"/>
    <w:rsid w:val="00EF36A6"/>
    <w:rsid w:val="00EF5F7D"/>
    <w:rsid w:val="00F17F5C"/>
    <w:rsid w:val="00F20D7B"/>
    <w:rsid w:val="00F241E7"/>
    <w:rsid w:val="00F26B69"/>
    <w:rsid w:val="00F27946"/>
    <w:rsid w:val="00F31C24"/>
    <w:rsid w:val="00F34219"/>
    <w:rsid w:val="00F52236"/>
    <w:rsid w:val="00F54E25"/>
    <w:rsid w:val="00F5518B"/>
    <w:rsid w:val="00F63A87"/>
    <w:rsid w:val="00F85EEC"/>
    <w:rsid w:val="00F8698D"/>
    <w:rsid w:val="00F91A76"/>
    <w:rsid w:val="00FA0800"/>
    <w:rsid w:val="00FA4F0B"/>
    <w:rsid w:val="00FB6C1C"/>
    <w:rsid w:val="00FC445C"/>
    <w:rsid w:val="00FE0FF5"/>
    <w:rsid w:val="00FF0EF3"/>
    <w:rsid w:val="00FF415E"/>
    <w:rsid w:val="00FF6C0E"/>
    <w:rsid w:val="00FF71CE"/>
    <w:rsid w:val="030C779E"/>
    <w:rsid w:val="05B80E6E"/>
    <w:rsid w:val="0AD55274"/>
    <w:rsid w:val="0D8C7DCD"/>
    <w:rsid w:val="0E2F0B6D"/>
    <w:rsid w:val="0EAA75C0"/>
    <w:rsid w:val="11910C23"/>
    <w:rsid w:val="13100F7A"/>
    <w:rsid w:val="13C536D5"/>
    <w:rsid w:val="13D17DB5"/>
    <w:rsid w:val="16C542E4"/>
    <w:rsid w:val="17531BEC"/>
    <w:rsid w:val="1BB95BAD"/>
    <w:rsid w:val="1C6C54E9"/>
    <w:rsid w:val="1CDF0257"/>
    <w:rsid w:val="1D8F309C"/>
    <w:rsid w:val="23102BE4"/>
    <w:rsid w:val="23731066"/>
    <w:rsid w:val="23FD4B4F"/>
    <w:rsid w:val="24C36488"/>
    <w:rsid w:val="29EC68B0"/>
    <w:rsid w:val="2A463838"/>
    <w:rsid w:val="2A6F397A"/>
    <w:rsid w:val="2BA44110"/>
    <w:rsid w:val="2F4D2362"/>
    <w:rsid w:val="2F4F7BC9"/>
    <w:rsid w:val="31BF7CED"/>
    <w:rsid w:val="3369225F"/>
    <w:rsid w:val="37BA5285"/>
    <w:rsid w:val="37DD0982"/>
    <w:rsid w:val="3A9051F1"/>
    <w:rsid w:val="3B5F1782"/>
    <w:rsid w:val="3BFE3986"/>
    <w:rsid w:val="3D6319DE"/>
    <w:rsid w:val="3DDA5B6A"/>
    <w:rsid w:val="3E923F4B"/>
    <w:rsid w:val="3EB4471A"/>
    <w:rsid w:val="3F6051BD"/>
    <w:rsid w:val="403D490C"/>
    <w:rsid w:val="45167D00"/>
    <w:rsid w:val="472932D2"/>
    <w:rsid w:val="4A0E3E1A"/>
    <w:rsid w:val="4A5F56EC"/>
    <w:rsid w:val="4BA351F1"/>
    <w:rsid w:val="4BE36403"/>
    <w:rsid w:val="4D69739A"/>
    <w:rsid w:val="4E5F50E0"/>
    <w:rsid w:val="50927DC5"/>
    <w:rsid w:val="50DB071D"/>
    <w:rsid w:val="51EC2318"/>
    <w:rsid w:val="526558EA"/>
    <w:rsid w:val="57EC78DC"/>
    <w:rsid w:val="59874792"/>
    <w:rsid w:val="5EFC0266"/>
    <w:rsid w:val="5FE743C7"/>
    <w:rsid w:val="62042123"/>
    <w:rsid w:val="6204747B"/>
    <w:rsid w:val="63216004"/>
    <w:rsid w:val="63CE7FFD"/>
    <w:rsid w:val="640D473A"/>
    <w:rsid w:val="64746BC8"/>
    <w:rsid w:val="661302DC"/>
    <w:rsid w:val="67267722"/>
    <w:rsid w:val="6832500F"/>
    <w:rsid w:val="688F285D"/>
    <w:rsid w:val="6CBD4FE7"/>
    <w:rsid w:val="6E401E68"/>
    <w:rsid w:val="6F431545"/>
    <w:rsid w:val="6F87226E"/>
    <w:rsid w:val="731628A2"/>
    <w:rsid w:val="740E05B9"/>
    <w:rsid w:val="783C7660"/>
    <w:rsid w:val="7A0F3DEF"/>
    <w:rsid w:val="7B2E68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仿宋_GB2312"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styleId="9">
    <w:name w:val="FollowedHyperlink"/>
    <w:basedOn w:val="7"/>
    <w:semiHidden/>
    <w:unhideWhenUsed/>
    <w:uiPriority w:val="99"/>
    <w:rPr>
      <w:color w:val="000000"/>
      <w:u w:val="none"/>
    </w:rPr>
  </w:style>
  <w:style w:type="character" w:styleId="10">
    <w:name w:val="Emphasis"/>
    <w:basedOn w:val="7"/>
    <w:qFormat/>
    <w:uiPriority w:val="20"/>
    <w:rPr>
      <w:i/>
    </w:rPr>
  </w:style>
  <w:style w:type="character" w:styleId="11">
    <w:name w:val="HTML Variable"/>
    <w:basedOn w:val="7"/>
    <w:semiHidden/>
    <w:unhideWhenUsed/>
    <w:uiPriority w:val="99"/>
    <w:rPr>
      <w:i/>
    </w:rPr>
  </w:style>
  <w:style w:type="character" w:styleId="12">
    <w:name w:val="Hyperlink"/>
    <w:basedOn w:val="7"/>
    <w:semiHidden/>
    <w:unhideWhenUsed/>
    <w:uiPriority w:val="99"/>
    <w:rPr>
      <w:color w:val="000000"/>
      <w:u w:val="none"/>
    </w:rPr>
  </w:style>
  <w:style w:type="character" w:customStyle="1" w:styleId="13">
    <w:name w:val="页眉 Char"/>
    <w:basedOn w:val="7"/>
    <w:link w:val="4"/>
    <w:qFormat/>
    <w:uiPriority w:val="99"/>
    <w:rPr>
      <w:sz w:val="18"/>
      <w:szCs w:val="18"/>
    </w:rPr>
  </w:style>
  <w:style w:type="character" w:customStyle="1" w:styleId="14">
    <w:name w:val="页脚 Char"/>
    <w:basedOn w:val="7"/>
    <w:link w:val="3"/>
    <w:uiPriority w:val="99"/>
    <w:rPr>
      <w:sz w:val="18"/>
      <w:szCs w:val="18"/>
    </w:rPr>
  </w:style>
  <w:style w:type="character" w:customStyle="1" w:styleId="15">
    <w:name w:val="apple-converted-space"/>
    <w:basedOn w:val="7"/>
    <w:qFormat/>
    <w:uiPriority w:val="0"/>
  </w:style>
  <w:style w:type="paragraph" w:styleId="16">
    <w:name w:val="List Paragraph"/>
    <w:basedOn w:val="1"/>
    <w:qFormat/>
    <w:uiPriority w:val="34"/>
    <w:pPr>
      <w:ind w:firstLine="420" w:firstLineChars="200"/>
    </w:pPr>
  </w:style>
  <w:style w:type="character" w:customStyle="1" w:styleId="17">
    <w:name w:val="批注框文本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B91A369-68CA-4072-888B-1CBAC5D46FAF}">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3129</Words>
  <Characters>3455</Characters>
  <Lines>25</Lines>
  <Paragraphs>7</Paragraphs>
  <TotalTime>1</TotalTime>
  <ScaleCrop>false</ScaleCrop>
  <LinksUpToDate>false</LinksUpToDate>
  <CharactersWithSpaces>3484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2019-11-25T07:58:00Z</dcterms:created>
  <dc:creator>g</dc:creator>
  <cp:lastModifiedBy>Ciao</cp:lastModifiedBy>
  <cp:lastPrinted>2020-02-19T02:44:00Z</cp:lastPrinted>
  <dcterms:modified xsi:type="dcterms:W3CDTF">2025-02-28T02:48:34Z</dcterms:modified>
  <cp:revision>471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eyJoZGlkIjoiNjQwM2QzNjAwM2JjMDFjZDdlMTY2NTIxZTYxZGZkMzUiLCJ1c2VySWQiOiIxMTcyMjM1NTIyIn0=</vt:lpwstr>
  </property>
  <property fmtid="{D5CDD505-2E9C-101B-9397-08002B2CF9AE}" pid="4" name="ICV">
    <vt:lpwstr>D542FEDCFD404495B898AA067741E2F6_12</vt:lpwstr>
  </property>
</Properties>
</file>