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p>
    <w:p>
      <w:pPr>
        <w:jc w:val="center"/>
        <w:rPr>
          <w:rFonts w:hint="eastAsia" w:ascii="黑体" w:eastAsia="黑体"/>
          <w:sz w:val="72"/>
          <w:szCs w:val="72"/>
        </w:rPr>
      </w:pPr>
    </w:p>
    <w:p>
      <w:pPr>
        <w:jc w:val="center"/>
        <w:rPr>
          <w:rFonts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3</w:t>
      </w:r>
      <w:r>
        <w:rPr>
          <w:rFonts w:hint="eastAsia" w:ascii="黑体" w:eastAsia="黑体"/>
          <w:sz w:val="72"/>
          <w:szCs w:val="72"/>
        </w:rPr>
        <w:t>年度部门决算</w:t>
      </w:r>
      <w:r>
        <w:rPr>
          <w:rFonts w:hint="eastAsia" w:ascii="黑体" w:eastAsia="黑体"/>
          <w:sz w:val="72"/>
          <w:szCs w:val="72"/>
          <w:lang w:eastAsia="zh-CN"/>
        </w:rPr>
        <w:t>公开</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hint="eastAsia"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3</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3</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44"/>
          <w:szCs w:val="44"/>
        </w:rPr>
        <w:t>第一部分 202</w:t>
      </w:r>
      <w:r>
        <w:rPr>
          <w:rFonts w:hint="eastAsia" w:ascii="宋体" w:hAnsi="宋体" w:cs="宋体"/>
          <w:b/>
          <w:bCs/>
          <w:spacing w:val="40"/>
          <w:kern w:val="0"/>
          <w:sz w:val="44"/>
          <w:szCs w:val="44"/>
          <w:lang w:val="en-US" w:eastAsia="zh-CN"/>
        </w:rPr>
        <w:t>3</w:t>
      </w:r>
      <w:r>
        <w:rPr>
          <w:rFonts w:hint="eastAsia" w:ascii="宋体" w:hAnsi="宋体" w:cs="宋体"/>
          <w:b/>
          <w:bCs/>
          <w:spacing w:val="40"/>
          <w:kern w:val="0"/>
          <w:sz w:val="44"/>
          <w:szCs w:val="44"/>
        </w:rPr>
        <w:t>年度部门决算报表</w:t>
      </w:r>
    </w:p>
    <w:p>
      <w:pPr>
        <w:pStyle w:val="3"/>
        <w:rPr>
          <w:rFonts w:hint="eastAsia"/>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一、部门基本情况</w:t>
      </w:r>
    </w:p>
    <w:p>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pStyle w:val="2"/>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北京市信访办公室共内设15个处室，分别为：秘书处、来信办理处、网上信访办理处（投诉受理办公室）、来访接待处（北京市人民来访接待室）、对外联络协调处、综合调研处、排查调处办公室、督查处、复查复核处、人民建议征集办公室（北京市人民政府人民建议征集办公室）、宣传处（法规处）、人事处、机关党委、工会、离退休干部处。另有1个全额拨款事业单位，北京市信访办公室综合事务中心。下设一个预算单位，北京市信访办公室（本级）。</w:t>
      </w:r>
    </w:p>
    <w:p>
      <w:pPr>
        <w:pStyle w:val="2"/>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根据中共中央、国务院批准的北京市人民政府机构改革方案和《中共北京市委北京市人民政府关于印发〈北京市机构改革实施方案〉的通知》(京发〔2018〕31号)、《中共北京市委办公厅北京市人民政府办公厅关于印发〈北京市信访办公室职能配置、内设机构和人员编制规定〉的通知》(京办字〔2018〕38号)，《中共北京市委机构编制委员会关于市信访办所属事业单位改革有关事项的批复》(京编委〔2021〕48号)设立北京市信访办公室(简称市信访办)。市信访办共内设15个处室，另有1个全额拨款事业单位，北京市信访办公室综合事务中心。</w:t>
      </w:r>
    </w:p>
    <w:p>
      <w:pPr>
        <w:pStyle w:val="2"/>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北京市信访办公室贯彻落实党中央关于信访工作的方针政策、决策部署和市委有关工作要求，在履行职责过程中坚持和加强党对信访工作的集中统一领导。</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bookmarkStart w:id="0" w:name="_GoBack"/>
      <w:bookmarkEnd w:id="0"/>
    </w:p>
    <w:p>
      <w:pPr>
        <w:tabs>
          <w:tab w:val="center" w:pos="6979"/>
        </w:tabs>
        <w:spacing w:line="58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rPr>
        <w:t>北京市信访办公室部门行政编制121人，实际1</w:t>
      </w:r>
      <w:r>
        <w:rPr>
          <w:rFonts w:hint="eastAsia" w:ascii="仿宋_GB2312" w:eastAsia="仿宋_GB2312"/>
          <w:kern w:val="0"/>
          <w:sz w:val="28"/>
          <w:szCs w:val="28"/>
          <w:lang w:val="en-US" w:eastAsia="zh-CN"/>
        </w:rPr>
        <w:t>20</w:t>
      </w:r>
      <w:r>
        <w:rPr>
          <w:rFonts w:hint="eastAsia" w:ascii="仿宋_GB2312" w:eastAsia="仿宋_GB2312"/>
          <w:kern w:val="0"/>
          <w:sz w:val="28"/>
          <w:szCs w:val="28"/>
        </w:rPr>
        <w:t>人；事业编制36人，实际32人。</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离退休人员63人，其中：离休1人，退休62人。</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8852.51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797.63</w:t>
      </w:r>
      <w:r>
        <w:rPr>
          <w:rFonts w:hint="eastAsia" w:ascii="仿宋_GB2312" w:eastAsia="仿宋_GB2312"/>
          <w:sz w:val="28"/>
          <w:szCs w:val="28"/>
        </w:rPr>
        <w:t>万元，下降</w:t>
      </w:r>
      <w:r>
        <w:rPr>
          <w:rFonts w:hint="eastAsia" w:ascii="仿宋_GB2312" w:eastAsia="仿宋_GB2312"/>
          <w:sz w:val="28"/>
          <w:szCs w:val="28"/>
          <w:lang w:val="en-US" w:eastAsia="zh-CN"/>
        </w:rPr>
        <w:t>8.27</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8852.51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797.63</w:t>
      </w:r>
      <w:r>
        <w:rPr>
          <w:rFonts w:hint="eastAsia" w:ascii="仿宋_GB2312" w:eastAsia="仿宋_GB2312"/>
          <w:sz w:val="28"/>
          <w:szCs w:val="28"/>
        </w:rPr>
        <w:t>万元，下降</w:t>
      </w:r>
      <w:r>
        <w:rPr>
          <w:rFonts w:hint="eastAsia" w:ascii="仿宋_GB2312" w:eastAsia="仿宋_GB2312"/>
          <w:sz w:val="28"/>
          <w:szCs w:val="28"/>
          <w:lang w:val="en-US" w:eastAsia="zh-CN"/>
        </w:rPr>
        <w:t>8.27</w:t>
      </w:r>
      <w:r>
        <w:rPr>
          <w:rFonts w:hint="eastAsia" w:ascii="仿宋_GB2312" w:eastAsia="仿宋_GB2312"/>
          <w:sz w:val="28"/>
          <w:szCs w:val="28"/>
        </w:rPr>
        <w:t>%。</w:t>
      </w:r>
    </w:p>
    <w:p>
      <w:pPr>
        <w:tabs>
          <w:tab w:val="center" w:pos="6979"/>
        </w:tabs>
        <w:spacing w:line="580" w:lineRule="exact"/>
        <w:ind w:firstLine="560" w:firstLineChars="200"/>
        <w:rPr>
          <w:rFonts w:hint="eastAsia"/>
        </w:rPr>
      </w:pPr>
      <w:r>
        <w:rPr>
          <w:rFonts w:hint="eastAsia" w:ascii="仿宋_GB2312" w:eastAsia="仿宋_GB2312"/>
          <w:sz w:val="28"/>
          <w:szCs w:val="28"/>
        </w:rPr>
        <w:t>1.财政拨款收入</w:t>
      </w:r>
      <w:r>
        <w:rPr>
          <w:rFonts w:ascii="仿宋_GB2312" w:eastAsia="仿宋_GB2312"/>
          <w:sz w:val="28"/>
          <w:szCs w:val="28"/>
        </w:rPr>
        <w:t>8852.51</w:t>
      </w:r>
      <w:r>
        <w:rPr>
          <w:rFonts w:hint="eastAsia" w:ascii="仿宋_GB2312" w:eastAsia="仿宋_GB2312"/>
          <w:sz w:val="28"/>
          <w:szCs w:val="28"/>
        </w:rPr>
        <w:t>万元，占收入合计的</w:t>
      </w:r>
      <w:r>
        <w:rPr>
          <w:rFonts w:ascii="仿宋_GB2312" w:eastAsia="仿宋_GB2312"/>
          <w:sz w:val="28"/>
          <w:szCs w:val="28"/>
        </w:rPr>
        <w:t>100</w:t>
      </w:r>
      <w:r>
        <w:rPr>
          <w:rFonts w:hint="eastAsia" w:ascii="仿宋_GB2312" w:eastAsia="仿宋_GB2312"/>
          <w:sz w:val="28"/>
          <w:szCs w:val="28"/>
        </w:rPr>
        <w:t>%。其中：一般公共预算财政拨款收入</w:t>
      </w:r>
      <w:r>
        <w:rPr>
          <w:rFonts w:ascii="仿宋_GB2312" w:eastAsia="仿宋_GB2312"/>
          <w:sz w:val="28"/>
          <w:szCs w:val="28"/>
        </w:rPr>
        <w:t>8852.51</w:t>
      </w:r>
      <w:r>
        <w:rPr>
          <w:rFonts w:hint="eastAsia" w:ascii="仿宋_GB2312" w:eastAsia="仿宋_GB2312"/>
          <w:sz w:val="28"/>
          <w:szCs w:val="28"/>
        </w:rPr>
        <w:t>万元，占收入合计的</w:t>
      </w:r>
      <w:r>
        <w:rPr>
          <w:rFonts w:ascii="仿宋_GB2312" w:eastAsia="仿宋_GB2312"/>
          <w:sz w:val="28"/>
          <w:szCs w:val="28"/>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eastAsia="仿宋_GB2312" w:cs="Droid Sans"/>
          <w:color w:val="000000"/>
          <w:sz w:val="32"/>
          <w:szCs w:val="32"/>
          <w:highlight w:val="none"/>
          <w:lang w:eastAsia="zh-CN"/>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pStyle w:val="3"/>
        <w:ind w:firstLine="0"/>
        <w:jc w:val="center"/>
        <w:rPr>
          <w:rFonts w:hint="default"/>
          <w:lang w:val="en-US"/>
        </w:rPr>
      </w:pPr>
      <w:r>
        <w:rPr>
          <w:rFonts w:hint="eastAsia" w:ascii="仿宋_GB2312" w:eastAsia="仿宋_GB2312"/>
          <w:color w:val="000000"/>
          <w:sz w:val="32"/>
          <w:szCs w:val="32"/>
          <w:highlight w:val="none"/>
          <w:lang w:val="en-US" w:eastAsia="zh-CN"/>
        </w:rPr>
        <w:t>图1：收入决算</w:t>
      </w:r>
    </w:p>
    <w:p>
      <w:pPr>
        <w:bidi w:val="0"/>
        <w:jc w:val="center"/>
        <w:rPr>
          <w:rFonts w:hint="eastAsia"/>
          <w:lang w:val="en-US" w:eastAsia="zh-CN"/>
        </w:rPr>
      </w:pPr>
      <w:r>
        <w:rPr>
          <w:rFonts w:hint="eastAsia"/>
          <w:lang w:val="en-US" w:eastAsia="zh-CN"/>
        </w:rPr>
        <w:drawing>
          <wp:inline distT="0" distB="0" distL="114300" distR="114300">
            <wp:extent cx="4408805" cy="2477770"/>
            <wp:effectExtent l="4445" t="5080" r="6350" b="1270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年度本年支出合计</w:t>
      </w:r>
      <w:r>
        <w:rPr>
          <w:rFonts w:ascii="仿宋_GB2312" w:eastAsia="仿宋_GB2312"/>
          <w:sz w:val="28"/>
          <w:szCs w:val="28"/>
        </w:rPr>
        <w:t>8421.51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947.32</w:t>
      </w:r>
      <w:r>
        <w:rPr>
          <w:rFonts w:hint="eastAsia" w:ascii="仿宋_GB2312" w:eastAsia="仿宋_GB2312"/>
          <w:sz w:val="28"/>
          <w:szCs w:val="28"/>
        </w:rPr>
        <w:t>万元，下降</w:t>
      </w:r>
      <w:r>
        <w:rPr>
          <w:rFonts w:hint="eastAsia" w:ascii="仿宋_GB2312" w:eastAsia="仿宋_GB2312"/>
          <w:sz w:val="28"/>
          <w:szCs w:val="28"/>
          <w:lang w:val="en-US" w:eastAsia="zh-CN"/>
        </w:rPr>
        <w:t>10.11</w:t>
      </w:r>
      <w:r>
        <w:rPr>
          <w:rFonts w:hint="eastAsia" w:ascii="仿宋_GB2312" w:eastAsia="仿宋_GB2312"/>
          <w:sz w:val="28"/>
          <w:szCs w:val="28"/>
        </w:rPr>
        <w:t>%，其中：基本支出</w:t>
      </w:r>
      <w:r>
        <w:rPr>
          <w:rFonts w:ascii="仿宋_GB2312" w:eastAsia="仿宋_GB2312"/>
          <w:sz w:val="28"/>
          <w:szCs w:val="28"/>
        </w:rPr>
        <w:t>7203.69</w:t>
      </w:r>
      <w:r>
        <w:rPr>
          <w:rFonts w:hint="eastAsia" w:ascii="仿宋_GB2312" w:eastAsia="仿宋_GB2312"/>
          <w:sz w:val="28"/>
          <w:szCs w:val="28"/>
        </w:rPr>
        <w:t>万元，占支出合计的</w:t>
      </w:r>
      <w:r>
        <w:rPr>
          <w:rFonts w:ascii="仿宋_GB2312" w:eastAsia="仿宋_GB2312"/>
          <w:sz w:val="28"/>
          <w:szCs w:val="28"/>
        </w:rPr>
        <w:t>85.53</w:t>
      </w:r>
      <w:r>
        <w:rPr>
          <w:rFonts w:hint="eastAsia" w:ascii="仿宋_GB2312" w:eastAsia="仿宋_GB2312"/>
          <w:sz w:val="28"/>
          <w:szCs w:val="28"/>
        </w:rPr>
        <w:t>%；项目支出</w:t>
      </w:r>
      <w:r>
        <w:rPr>
          <w:rFonts w:ascii="仿宋_GB2312" w:eastAsia="仿宋_GB2312"/>
          <w:sz w:val="28"/>
          <w:szCs w:val="28"/>
        </w:rPr>
        <w:t>1217.82</w:t>
      </w:r>
      <w:r>
        <w:rPr>
          <w:rFonts w:hint="eastAsia" w:ascii="仿宋_GB2312" w:eastAsia="仿宋_GB2312"/>
          <w:sz w:val="28"/>
          <w:szCs w:val="28"/>
        </w:rPr>
        <w:t>万元，占支出合计的</w:t>
      </w:r>
      <w:r>
        <w:rPr>
          <w:rFonts w:ascii="仿宋_GB2312" w:eastAsia="仿宋_GB2312"/>
          <w:sz w:val="28"/>
          <w:szCs w:val="28"/>
        </w:rPr>
        <w:t>14.46</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pPr>
        <w:pStyle w:val="3"/>
        <w:ind w:firstLine="642"/>
        <w:jc w:val="center"/>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图2：基本支出和项目支出情况</w:t>
      </w:r>
    </w:p>
    <w:p>
      <w:pPr>
        <w:jc w:val="center"/>
        <w:rPr>
          <w:rFonts w:hint="eastAsia"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8852.51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797.63</w:t>
      </w:r>
      <w:r>
        <w:rPr>
          <w:rFonts w:hint="eastAsia" w:ascii="仿宋_GB2312" w:eastAsia="仿宋_GB2312"/>
          <w:sz w:val="28"/>
          <w:szCs w:val="28"/>
        </w:rPr>
        <w:t>万元，下降</w:t>
      </w:r>
      <w:r>
        <w:rPr>
          <w:rFonts w:hint="eastAsia" w:ascii="仿宋_GB2312" w:eastAsia="仿宋_GB2312"/>
          <w:sz w:val="28"/>
          <w:szCs w:val="28"/>
          <w:lang w:val="en-US" w:eastAsia="zh-CN"/>
        </w:rPr>
        <w:t>8.27</w:t>
      </w:r>
      <w:r>
        <w:rPr>
          <w:rFonts w:hint="eastAsia" w:ascii="仿宋_GB2312" w:eastAsia="仿宋_GB2312"/>
          <w:sz w:val="28"/>
          <w:szCs w:val="28"/>
        </w:rPr>
        <w:t>%。</w:t>
      </w:r>
      <w:r>
        <w:rPr>
          <w:rFonts w:hint="eastAsia" w:ascii="仿宋_GB2312" w:eastAsia="仿宋_GB2312"/>
          <w:sz w:val="28"/>
          <w:szCs w:val="28"/>
          <w:highlight w:val="none"/>
        </w:rPr>
        <w:t>主要原因是2022</w:t>
      </w:r>
      <w:r>
        <w:rPr>
          <w:rFonts w:hint="eastAsia" w:ascii="仿宋_GB2312" w:eastAsia="仿宋_GB2312"/>
          <w:sz w:val="28"/>
          <w:szCs w:val="28"/>
        </w:rPr>
        <w:t>年度</w:t>
      </w:r>
      <w:r>
        <w:rPr>
          <w:rFonts w:hint="eastAsia" w:ascii="仿宋_GB2312" w:eastAsia="仿宋_GB2312"/>
          <w:sz w:val="28"/>
          <w:szCs w:val="28"/>
          <w:highlight w:val="none"/>
          <w:lang w:eastAsia="zh-CN"/>
        </w:rPr>
        <w:t>的</w:t>
      </w:r>
      <w:r>
        <w:rPr>
          <w:rFonts w:hint="eastAsia" w:ascii="仿宋_GB2312" w:eastAsia="仿宋_GB2312"/>
          <w:sz w:val="28"/>
          <w:szCs w:val="28"/>
          <w:highlight w:val="none"/>
        </w:rPr>
        <w:t>一次性项目2023</w:t>
      </w:r>
      <w:r>
        <w:rPr>
          <w:rFonts w:hint="eastAsia" w:ascii="仿宋_GB2312" w:eastAsia="仿宋_GB2312"/>
          <w:sz w:val="28"/>
          <w:szCs w:val="28"/>
        </w:rPr>
        <w:t>年度</w:t>
      </w:r>
      <w:r>
        <w:rPr>
          <w:rFonts w:hint="eastAsia" w:ascii="仿宋_GB2312" w:eastAsia="仿宋_GB2312"/>
          <w:sz w:val="28"/>
          <w:szCs w:val="28"/>
          <w:highlight w:val="none"/>
        </w:rPr>
        <w:t>不再安排。</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年度一般公共预算财政拨款支出</w:t>
      </w:r>
      <w:r>
        <w:rPr>
          <w:rFonts w:ascii="仿宋_GB2312" w:eastAsia="仿宋_GB2312"/>
          <w:sz w:val="28"/>
          <w:szCs w:val="28"/>
        </w:rPr>
        <w:t>8421.51</w:t>
      </w:r>
      <w:r>
        <w:rPr>
          <w:rFonts w:hint="eastAsia" w:ascii="仿宋_GB2312" w:eastAsia="仿宋_GB2312"/>
          <w:sz w:val="28"/>
          <w:szCs w:val="28"/>
        </w:rPr>
        <w:t>万元，主要用于以下方面（按大类）：一般公共服务支出7121.2</w:t>
      </w:r>
      <w:r>
        <w:rPr>
          <w:rFonts w:hint="eastAsia" w:ascii="仿宋_GB2312" w:eastAsia="仿宋_GB2312"/>
          <w:sz w:val="28"/>
          <w:szCs w:val="28"/>
          <w:lang w:val="en-US" w:eastAsia="zh-CN"/>
        </w:rPr>
        <w:t>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84.56</w:t>
      </w:r>
      <w:r>
        <w:rPr>
          <w:rFonts w:hint="eastAsia" w:ascii="仿宋_GB2312" w:eastAsia="仿宋_GB2312"/>
          <w:sz w:val="28"/>
          <w:szCs w:val="28"/>
        </w:rPr>
        <w:t>%；社会保障和就业支出</w:t>
      </w:r>
      <w:r>
        <w:rPr>
          <w:rFonts w:hint="eastAsia" w:ascii="仿宋_GB2312" w:eastAsia="仿宋_GB2312"/>
          <w:sz w:val="28"/>
          <w:szCs w:val="28"/>
          <w:lang w:val="en-US" w:eastAsia="zh-CN"/>
        </w:rPr>
        <w:t>870.51</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10.34</w:t>
      </w:r>
      <w:r>
        <w:rPr>
          <w:rFonts w:hint="eastAsia" w:ascii="仿宋_GB2312" w:eastAsia="仿宋_GB2312"/>
          <w:sz w:val="28"/>
          <w:szCs w:val="28"/>
        </w:rPr>
        <w:t>%；卫生健康支出</w:t>
      </w:r>
      <w:r>
        <w:rPr>
          <w:rFonts w:hint="eastAsia" w:ascii="仿宋_GB2312" w:eastAsia="仿宋_GB2312"/>
          <w:sz w:val="28"/>
          <w:szCs w:val="28"/>
          <w:lang w:val="en-US" w:eastAsia="zh-CN"/>
        </w:rPr>
        <w:t>429.77</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5.10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7121.24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年度年初预算减少</w:t>
      </w:r>
      <w:r>
        <w:rPr>
          <w:rFonts w:hint="eastAsia" w:ascii="仿宋_GB2312" w:eastAsia="仿宋_GB2312"/>
          <w:sz w:val="28"/>
          <w:szCs w:val="28"/>
          <w:lang w:val="en-US" w:eastAsia="zh-CN"/>
        </w:rPr>
        <w:t>1085.71</w:t>
      </w:r>
      <w:r>
        <w:rPr>
          <w:rFonts w:hint="eastAsia" w:ascii="仿宋_GB2312" w:eastAsia="仿宋_GB2312"/>
          <w:sz w:val="28"/>
          <w:szCs w:val="28"/>
        </w:rPr>
        <w:t>万元，下降</w:t>
      </w:r>
      <w:r>
        <w:rPr>
          <w:rFonts w:hint="eastAsia" w:ascii="仿宋_GB2312" w:eastAsia="仿宋_GB2312"/>
          <w:sz w:val="28"/>
          <w:szCs w:val="28"/>
          <w:lang w:val="en-US" w:eastAsia="zh-CN"/>
        </w:rPr>
        <w:t>13.23</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“政府办公厅(室)及相关机构事务”（款）202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7121.24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年度年初预算减少</w:t>
      </w:r>
      <w:r>
        <w:rPr>
          <w:rFonts w:hint="eastAsia" w:ascii="仿宋_GB2312" w:eastAsia="仿宋_GB2312"/>
          <w:sz w:val="28"/>
          <w:szCs w:val="28"/>
          <w:lang w:val="en-US" w:eastAsia="zh-CN"/>
        </w:rPr>
        <w:t>1085.71</w:t>
      </w:r>
      <w:r>
        <w:rPr>
          <w:rFonts w:hint="eastAsia" w:ascii="仿宋_GB2312" w:eastAsia="仿宋_GB2312"/>
          <w:sz w:val="28"/>
          <w:szCs w:val="28"/>
        </w:rPr>
        <w:t>万元，下降</w:t>
      </w:r>
      <w:r>
        <w:rPr>
          <w:rFonts w:hint="eastAsia" w:ascii="仿宋_GB2312" w:eastAsia="仿宋_GB2312"/>
          <w:sz w:val="28"/>
          <w:szCs w:val="28"/>
          <w:lang w:val="en-US" w:eastAsia="zh-CN"/>
        </w:rPr>
        <w:t>13.23</w:t>
      </w:r>
      <w:r>
        <w:rPr>
          <w:rFonts w:hint="eastAsia" w:ascii="仿宋_GB2312" w:eastAsia="仿宋_GB2312"/>
          <w:sz w:val="28"/>
          <w:szCs w:val="28"/>
        </w:rPr>
        <w:t>%。主要原因：是落实市委市政府关于过紧日子的要求，压减一般性支出和非紧急非必需支出。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870.51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43.08</w:t>
      </w:r>
      <w:r>
        <w:rPr>
          <w:rFonts w:hint="eastAsia" w:ascii="仿宋_GB2312" w:eastAsia="仿宋_GB2312"/>
          <w:sz w:val="28"/>
          <w:szCs w:val="28"/>
        </w:rPr>
        <w:t>万元，增长</w:t>
      </w:r>
      <w:r>
        <w:rPr>
          <w:rFonts w:hint="eastAsia" w:ascii="仿宋_GB2312" w:eastAsia="仿宋_GB2312"/>
          <w:sz w:val="28"/>
          <w:szCs w:val="28"/>
          <w:lang w:val="en-US" w:eastAsia="zh-CN"/>
        </w:rPr>
        <w:t>5.21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“行政事业单位养老支出”（款）202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年度决算743.15万元，比2023年度年初预算</w:t>
      </w:r>
      <w:r>
        <w:rPr>
          <w:rFonts w:hint="eastAsia" w:ascii="仿宋_GB2312" w:eastAsia="仿宋_GB2312"/>
          <w:sz w:val="28"/>
          <w:szCs w:val="28"/>
          <w:highlight w:val="none"/>
          <w:lang w:eastAsia="zh-CN"/>
        </w:rPr>
        <w:t>减少</w:t>
      </w:r>
      <w:r>
        <w:rPr>
          <w:rFonts w:hint="eastAsia" w:ascii="仿宋_GB2312" w:eastAsia="仿宋_GB2312"/>
          <w:sz w:val="28"/>
          <w:szCs w:val="28"/>
          <w:highlight w:val="none"/>
          <w:lang w:val="en-US" w:eastAsia="zh-CN"/>
        </w:rPr>
        <w:t>1.72</w:t>
      </w:r>
      <w:r>
        <w:rPr>
          <w:rFonts w:hint="eastAsia" w:ascii="仿宋_GB2312" w:eastAsia="仿宋_GB2312"/>
          <w:sz w:val="28"/>
          <w:szCs w:val="28"/>
          <w:highlight w:val="none"/>
        </w:rPr>
        <w:t>万元，下降</w:t>
      </w:r>
      <w:r>
        <w:rPr>
          <w:rFonts w:hint="eastAsia" w:ascii="仿宋_GB2312" w:eastAsia="仿宋_GB2312"/>
          <w:sz w:val="28"/>
          <w:szCs w:val="28"/>
          <w:highlight w:val="none"/>
          <w:lang w:val="en-US" w:eastAsia="zh-CN"/>
        </w:rPr>
        <w:t>0.23</w:t>
      </w:r>
      <w:r>
        <w:rPr>
          <w:rFonts w:hint="eastAsia" w:ascii="仿宋_GB2312" w:eastAsia="仿宋_GB2312"/>
          <w:sz w:val="28"/>
          <w:szCs w:val="28"/>
          <w:highlight w:val="none"/>
        </w:rPr>
        <w:t>%。</w:t>
      </w:r>
      <w:r>
        <w:rPr>
          <w:rFonts w:hint="eastAsia" w:ascii="仿宋_GB2312" w:eastAsia="仿宋_GB2312"/>
          <w:sz w:val="28"/>
          <w:szCs w:val="28"/>
          <w:highlight w:val="none"/>
          <w:lang w:eastAsia="zh-CN"/>
        </w:rPr>
        <w:t>与年初预算基本持平</w:t>
      </w:r>
      <w:r>
        <w:rPr>
          <w:rFonts w:hint="eastAsia" w:ascii="仿宋_GB2312" w:eastAsia="仿宋_GB2312"/>
          <w:sz w:val="28"/>
          <w:szCs w:val="28"/>
          <w:highlight w:val="none"/>
        </w:rPr>
        <w:t>。</w:t>
      </w:r>
    </w:p>
    <w:p>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“抚恤”（款）2023年度决算</w:t>
      </w:r>
      <w:r>
        <w:rPr>
          <w:rFonts w:hint="eastAsia" w:ascii="仿宋_GB2312" w:eastAsia="仿宋_GB2312"/>
          <w:sz w:val="28"/>
          <w:szCs w:val="28"/>
          <w:highlight w:val="none"/>
          <w:lang w:val="en-US" w:eastAsia="zh-CN"/>
        </w:rPr>
        <w:t>44.80</w:t>
      </w:r>
      <w:r>
        <w:rPr>
          <w:rFonts w:hint="eastAsia" w:ascii="仿宋_GB2312" w:eastAsia="仿宋_GB2312"/>
          <w:sz w:val="28"/>
          <w:szCs w:val="28"/>
          <w:highlight w:val="none"/>
        </w:rPr>
        <w:t>万元，比2023年度年初预算增加</w:t>
      </w:r>
      <w:r>
        <w:rPr>
          <w:rFonts w:hint="eastAsia" w:ascii="仿宋_GB2312" w:eastAsia="仿宋_GB2312"/>
          <w:sz w:val="28"/>
          <w:szCs w:val="28"/>
          <w:highlight w:val="none"/>
          <w:lang w:val="en-US" w:eastAsia="zh-CN"/>
        </w:rPr>
        <w:t>44.8</w:t>
      </w:r>
      <w:r>
        <w:rPr>
          <w:rFonts w:hint="eastAsia" w:ascii="仿宋_GB2312" w:eastAsia="仿宋_GB2312"/>
          <w:sz w:val="28"/>
          <w:szCs w:val="28"/>
          <w:highlight w:val="none"/>
        </w:rPr>
        <w:t>万</w:t>
      </w:r>
      <w:r>
        <w:rPr>
          <w:rFonts w:hint="eastAsia" w:ascii="仿宋_GB2312" w:eastAsia="仿宋_GB2312"/>
          <w:sz w:val="28"/>
          <w:szCs w:val="28"/>
          <w:highlight w:val="none"/>
          <w:lang w:eastAsia="zh-CN"/>
        </w:rPr>
        <w:t>元</w:t>
      </w:r>
      <w:r>
        <w:rPr>
          <w:rFonts w:hint="eastAsia" w:ascii="仿宋_GB2312" w:eastAsia="仿宋_GB2312"/>
          <w:sz w:val="28"/>
          <w:szCs w:val="28"/>
          <w:highlight w:val="none"/>
        </w:rPr>
        <w:t>。主要原因：依政策为去世人员追加抚恤金。</w:t>
      </w:r>
    </w:p>
    <w:p>
      <w:pPr>
        <w:spacing w:line="58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“其他社会保障和就业支出”（款）2023年度决算82.56万元，比2023年度年初预算增加0万元，增长0%。与年初预算持平。</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、“卫生健康支出”(类)2023年度决算</w:t>
      </w:r>
      <w:r>
        <w:rPr>
          <w:rFonts w:hint="eastAsia" w:ascii="仿宋_GB2312" w:eastAsia="仿宋_GB2312"/>
          <w:sz w:val="28"/>
          <w:szCs w:val="28"/>
          <w:lang w:val="en-US" w:eastAsia="zh-CN"/>
        </w:rPr>
        <w:t>429.77</w:t>
      </w:r>
      <w:r>
        <w:rPr>
          <w:rFonts w:hint="eastAsia" w:ascii="仿宋_GB2312" w:eastAsia="仿宋_GB2312"/>
          <w:sz w:val="28"/>
          <w:szCs w:val="28"/>
        </w:rPr>
        <w:t>万元，比2023年度年初预算增加</w:t>
      </w:r>
      <w:r>
        <w:rPr>
          <w:rFonts w:hint="eastAsia" w:ascii="仿宋_GB2312" w:eastAsia="仿宋_GB2312"/>
          <w:sz w:val="28"/>
          <w:szCs w:val="28"/>
          <w:lang w:val="en-US" w:eastAsia="zh-CN"/>
        </w:rPr>
        <w:t>0</w:t>
      </w:r>
      <w:r>
        <w:rPr>
          <w:rFonts w:hint="eastAsia" w:ascii="仿宋_GB2312" w:eastAsia="仿宋_GB2312"/>
          <w:sz w:val="28"/>
          <w:szCs w:val="28"/>
        </w:rPr>
        <w:t>万元，增长</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eastAsia="zh-CN"/>
        </w:rPr>
        <w:t>。实际支出与年初预算数持平</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行政事业单位医疗</w:t>
      </w:r>
      <w:r>
        <w:rPr>
          <w:rFonts w:hint="eastAsia" w:ascii="仿宋_GB2312" w:eastAsia="仿宋_GB2312"/>
          <w:sz w:val="28"/>
          <w:szCs w:val="28"/>
        </w:rPr>
        <w:t>”（款）2023年度决算429.77万元，比2023年度年初预算增加0万元，增长0%。实际支出与年初预算数持平。</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本年度无此项支出。</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本年度无此项支出。</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7203.69</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hint="eastAsia"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“三公”经费包括北京市信访办公室本级行政和1个事业单位(非独立核算预算单位)。202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0.07</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19.35</w:t>
      </w:r>
      <w:r>
        <w:rPr>
          <w:rFonts w:hint="eastAsia" w:ascii="仿宋_GB2312" w:eastAsia="仿宋_GB2312"/>
          <w:sz w:val="28"/>
          <w:szCs w:val="28"/>
        </w:rPr>
        <w:t>万元减少</w:t>
      </w:r>
      <w:r>
        <w:rPr>
          <w:rFonts w:ascii="仿宋_GB2312" w:eastAsia="仿宋_GB2312"/>
          <w:sz w:val="28"/>
          <w:szCs w:val="28"/>
        </w:rPr>
        <w:t>19.28</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16.5</w:t>
      </w:r>
      <w:r>
        <w:rPr>
          <w:rFonts w:hint="eastAsia" w:ascii="仿宋_GB2312" w:eastAsia="仿宋_GB2312"/>
          <w:sz w:val="28"/>
          <w:szCs w:val="28"/>
        </w:rPr>
        <w:t>万元减少</w:t>
      </w:r>
      <w:r>
        <w:rPr>
          <w:rFonts w:ascii="仿宋_GB2312" w:eastAsia="仿宋_GB2312"/>
          <w:sz w:val="28"/>
          <w:szCs w:val="28"/>
        </w:rPr>
        <w:t>16.5</w:t>
      </w:r>
      <w:r>
        <w:rPr>
          <w:rFonts w:hint="eastAsia" w:ascii="仿宋_GB2312" w:eastAsia="仿宋_GB2312"/>
          <w:sz w:val="28"/>
          <w:szCs w:val="28"/>
        </w:rPr>
        <w:t>万元。主要原因：是落实市委市政府关于过紧日子的要求，压减一般性支出和非紧急非必需支出。</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0.07</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2.85</w:t>
      </w:r>
      <w:r>
        <w:rPr>
          <w:rFonts w:hint="eastAsia" w:ascii="仿宋_GB2312" w:eastAsia="仿宋_GB2312"/>
          <w:sz w:val="28"/>
          <w:szCs w:val="28"/>
        </w:rPr>
        <w:t>万元减少</w:t>
      </w:r>
      <w:r>
        <w:rPr>
          <w:rFonts w:hint="eastAsia" w:ascii="仿宋_GB2312" w:eastAsia="仿宋_GB2312"/>
          <w:sz w:val="28"/>
          <w:szCs w:val="28"/>
          <w:lang w:val="en-US" w:eastAsia="zh-CN"/>
        </w:rPr>
        <w:t>2.78</w:t>
      </w:r>
      <w:r>
        <w:rPr>
          <w:rFonts w:hint="eastAsia" w:ascii="仿宋_GB2312" w:eastAsia="仿宋_GB2312"/>
          <w:sz w:val="28"/>
          <w:szCs w:val="28"/>
        </w:rPr>
        <w:t>万元。主要原因：落实市委市政府关于过紧日子的要求，压减公务接待费用支出。202</w:t>
      </w:r>
      <w:r>
        <w:rPr>
          <w:rFonts w:hint="eastAsia" w:ascii="仿宋_GB2312" w:eastAsia="仿宋_GB2312"/>
          <w:sz w:val="28"/>
          <w:szCs w:val="28"/>
          <w:lang w:val="en-US" w:eastAsia="zh-CN"/>
        </w:rPr>
        <w:t>3</w:t>
      </w:r>
      <w:r>
        <w:rPr>
          <w:rFonts w:hint="eastAsia" w:ascii="仿宋_GB2312" w:eastAsia="仿宋_GB2312"/>
          <w:sz w:val="28"/>
          <w:szCs w:val="28"/>
        </w:rPr>
        <w:t>年度公务接待费主要用于各省市地方学习交流等公务活动。公务接待</w:t>
      </w:r>
      <w:r>
        <w:rPr>
          <w:rFonts w:hint="eastAsia" w:ascii="仿宋_GB2312" w:eastAsia="仿宋_GB2312"/>
          <w:sz w:val="28"/>
          <w:szCs w:val="28"/>
          <w:lang w:val="en-US" w:eastAsia="zh-CN"/>
        </w:rPr>
        <w:t>2</w:t>
      </w:r>
      <w:r>
        <w:rPr>
          <w:rFonts w:hint="eastAsia" w:ascii="仿宋_GB2312" w:eastAsia="仿宋_GB2312"/>
          <w:sz w:val="28"/>
          <w:szCs w:val="28"/>
        </w:rPr>
        <w:t>批次，公务接待</w:t>
      </w:r>
      <w:r>
        <w:rPr>
          <w:rFonts w:hint="eastAsia" w:ascii="仿宋_GB2312" w:eastAsia="仿宋_GB2312"/>
          <w:sz w:val="28"/>
          <w:szCs w:val="28"/>
          <w:lang w:val="en-US" w:eastAsia="zh-CN"/>
        </w:rPr>
        <w:t>13</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年度使用财政拨款安排的基本支出中的日常公用经费支出，合计</w:t>
      </w:r>
      <w:r>
        <w:rPr>
          <w:rFonts w:hint="eastAsia" w:ascii="仿宋_GB2312" w:eastAsia="仿宋_GB2312"/>
          <w:sz w:val="28"/>
          <w:szCs w:val="28"/>
          <w:lang w:val="en-US" w:eastAsia="zh-CN"/>
        </w:rPr>
        <w:t>413.69</w:t>
      </w:r>
      <w:r>
        <w:rPr>
          <w:rFonts w:hint="eastAsia" w:ascii="仿宋_GB2312" w:eastAsia="仿宋_GB2312"/>
          <w:sz w:val="28"/>
          <w:szCs w:val="28"/>
        </w:rPr>
        <w:t>万元，比上年增加</w:t>
      </w:r>
      <w:r>
        <w:rPr>
          <w:rFonts w:hint="eastAsia" w:ascii="仿宋_GB2312" w:eastAsia="仿宋_GB2312"/>
          <w:sz w:val="28"/>
          <w:szCs w:val="28"/>
          <w:lang w:val="en-US" w:eastAsia="zh-CN"/>
        </w:rPr>
        <w:t>6.62</w:t>
      </w:r>
      <w:r>
        <w:rPr>
          <w:rFonts w:hint="eastAsia" w:ascii="仿宋_GB2312" w:eastAsia="仿宋_GB2312"/>
          <w:sz w:val="28"/>
          <w:szCs w:val="28"/>
        </w:rPr>
        <w:t>万元，增加原因：根据实际工作需要，在公用经费预算内增加了部分支出。</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年度政府采购支出总额</w:t>
      </w:r>
      <w:r>
        <w:rPr>
          <w:rFonts w:ascii="仿宋_GB2312" w:eastAsia="仿宋_GB2312"/>
          <w:sz w:val="28"/>
          <w:szCs w:val="28"/>
        </w:rPr>
        <w:t>1013.3</w:t>
      </w:r>
      <w:r>
        <w:rPr>
          <w:rFonts w:hint="eastAsia" w:ascii="仿宋_GB2312" w:eastAsia="仿宋_GB2312"/>
          <w:sz w:val="28"/>
          <w:szCs w:val="28"/>
        </w:rPr>
        <w:t>万元，其中：政府采购货物支出</w:t>
      </w:r>
      <w:r>
        <w:rPr>
          <w:rFonts w:ascii="仿宋_GB2312" w:eastAsia="仿宋_GB2312"/>
          <w:sz w:val="28"/>
          <w:szCs w:val="28"/>
        </w:rPr>
        <w:t>2.83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1010.47</w:t>
      </w:r>
      <w:r>
        <w:rPr>
          <w:rFonts w:hint="eastAsia" w:ascii="仿宋_GB2312" w:eastAsia="仿宋_GB2312"/>
          <w:sz w:val="28"/>
          <w:szCs w:val="28"/>
        </w:rPr>
        <w:t>万元。授予中小企业合同金额</w:t>
      </w:r>
      <w:r>
        <w:rPr>
          <w:rFonts w:ascii="仿宋_GB2312" w:eastAsia="仿宋_GB2312"/>
          <w:sz w:val="28"/>
          <w:szCs w:val="28"/>
          <w:highlight w:val="none"/>
        </w:rPr>
        <w:t>403.43</w:t>
      </w:r>
      <w:r>
        <w:rPr>
          <w:rFonts w:hint="eastAsia" w:ascii="仿宋_GB2312" w:eastAsia="仿宋_GB2312"/>
          <w:sz w:val="28"/>
          <w:szCs w:val="28"/>
        </w:rPr>
        <w:t>万元，占政府采购支出总额的</w:t>
      </w:r>
      <w:r>
        <w:rPr>
          <w:rFonts w:ascii="仿宋_GB2312" w:eastAsia="仿宋_GB2312"/>
          <w:sz w:val="28"/>
          <w:szCs w:val="28"/>
          <w:highlight w:val="none"/>
        </w:rPr>
        <w:t>39.81</w:t>
      </w:r>
      <w:r>
        <w:rPr>
          <w:rFonts w:hint="eastAsia" w:ascii="仿宋_GB2312" w:eastAsia="仿宋_GB2312"/>
          <w:sz w:val="28"/>
          <w:szCs w:val="28"/>
        </w:rPr>
        <w:t>%，其中：授予小微企业合同金额</w:t>
      </w:r>
      <w:r>
        <w:rPr>
          <w:rFonts w:ascii="仿宋_GB2312" w:eastAsia="仿宋_GB2312"/>
          <w:sz w:val="28"/>
          <w:szCs w:val="28"/>
          <w:highlight w:val="none"/>
        </w:rPr>
        <w:t>398.01</w:t>
      </w:r>
      <w:r>
        <w:rPr>
          <w:rFonts w:hint="eastAsia" w:ascii="仿宋_GB2312" w:eastAsia="仿宋_GB2312"/>
          <w:sz w:val="28"/>
          <w:szCs w:val="28"/>
        </w:rPr>
        <w:t>万元，占政府采购支出总额的</w:t>
      </w:r>
      <w:r>
        <w:rPr>
          <w:rFonts w:ascii="仿宋_GB2312" w:eastAsia="仿宋_GB2312"/>
          <w:sz w:val="28"/>
          <w:szCs w:val="28"/>
          <w:highlight w:val="none"/>
        </w:rPr>
        <w:t>39.27</w:t>
      </w:r>
      <w:r>
        <w:rPr>
          <w:rFonts w:hint="eastAsia" w:ascii="仿宋_GB2312" w:eastAsia="仿宋_GB2312"/>
          <w:sz w:val="28"/>
          <w:szCs w:val="28"/>
          <w:highlight w:val="none"/>
        </w:rPr>
        <w:t>%</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；新购置</w:t>
      </w:r>
      <w:r>
        <w:rPr>
          <w:rFonts w:hint="eastAsia" w:ascii="仿宋_GB2312" w:eastAsia="仿宋_GB2312"/>
          <w:sz w:val="28"/>
          <w:szCs w:val="28"/>
        </w:rPr>
        <w:t>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rPr>
        <w:t>北京市信访办公室</w:t>
      </w:r>
      <w:r>
        <w:rPr>
          <w:rFonts w:hint="eastAsia" w:ascii="仿宋_GB2312" w:eastAsia="仿宋_GB2312"/>
          <w:sz w:val="28"/>
          <w:szCs w:val="28"/>
          <w:lang w:eastAsia="zh-CN"/>
        </w:rPr>
        <w:t>部门共有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万元；单位价值100万元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5</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1089.94</w:t>
      </w:r>
      <w:r>
        <w:rPr>
          <w:rFonts w:hint="eastAsia" w:ascii="仿宋_GB2312" w:eastAsia="仿宋_GB2312"/>
          <w:sz w:val="28"/>
          <w:szCs w:val="28"/>
        </w:rPr>
        <w:t>万元。</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w:t>
      </w:r>
      <w:r>
        <w:rPr>
          <w:rFonts w:ascii="仿宋_GB2312" w:eastAsia="仿宋_GB2312"/>
          <w:sz w:val="28"/>
          <w:szCs w:val="28"/>
        </w:rPr>
        <w:t>政府购买服务决算</w:t>
      </w:r>
      <w:r>
        <w:rPr>
          <w:rFonts w:ascii="仿宋_GB2312" w:eastAsia="仿宋_GB2312"/>
          <w:sz w:val="28"/>
          <w:szCs w:val="28"/>
          <w:highlight w:val="none"/>
        </w:rPr>
        <w:t>893.75</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3</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ind w:firstLine="560" w:firstLineChars="200"/>
        <w:rPr>
          <w:rFonts w:hint="eastAsia" w:ascii="黑体" w:eastAsia="黑体"/>
          <w:sz w:val="28"/>
          <w:szCs w:val="28"/>
          <w:lang w:eastAsia="zh-CN"/>
        </w:rPr>
      </w:pPr>
      <w:r>
        <w:rPr>
          <w:rFonts w:hint="eastAsia" w:ascii="黑体" w:eastAsia="黑体"/>
          <w:sz w:val="28"/>
          <w:szCs w:val="28"/>
        </w:rPr>
        <w:t>一、部门整体绩效评价报告</w:t>
      </w:r>
      <w:r>
        <w:rPr>
          <w:rFonts w:hint="eastAsia" w:ascii="黑体" w:eastAsia="黑体"/>
          <w:sz w:val="28"/>
          <w:szCs w:val="28"/>
          <w:lang w:eastAsia="zh-CN"/>
        </w:rPr>
        <w:t>（详见附件）</w:t>
      </w:r>
    </w:p>
    <w:p>
      <w:pPr>
        <w:ind w:firstLine="560" w:firstLineChars="200"/>
        <w:rPr>
          <w:rFonts w:hint="eastAsia" w:ascii="黑体" w:eastAsia="黑体"/>
          <w:sz w:val="28"/>
          <w:szCs w:val="28"/>
        </w:rPr>
      </w:pPr>
      <w:r>
        <w:rPr>
          <w:rFonts w:hint="eastAsia" w:ascii="黑体" w:eastAsia="黑体"/>
          <w:sz w:val="28"/>
          <w:szCs w:val="28"/>
        </w:rPr>
        <w:t>二、项目支出绩效评价报告</w:t>
      </w:r>
      <w:r>
        <w:rPr>
          <w:rFonts w:hint="eastAsia" w:ascii="黑体" w:eastAsia="黑体"/>
          <w:sz w:val="28"/>
          <w:szCs w:val="28"/>
          <w:lang w:eastAsia="zh-CN"/>
        </w:rPr>
        <w:t>（详见附件）</w:t>
      </w:r>
    </w:p>
    <w:p>
      <w:pPr>
        <w:ind w:firstLine="560" w:firstLineChars="200"/>
        <w:rPr>
          <w:rFonts w:ascii="黑体" w:eastAsia="黑体"/>
          <w:sz w:val="28"/>
          <w:szCs w:val="28"/>
        </w:rPr>
      </w:pPr>
      <w:r>
        <w:rPr>
          <w:rFonts w:hint="eastAsia" w:ascii="黑体" w:eastAsia="黑体"/>
          <w:sz w:val="28"/>
          <w:szCs w:val="28"/>
        </w:rPr>
        <w:t>三</w:t>
      </w:r>
      <w:r>
        <w:rPr>
          <w:rFonts w:ascii="黑体" w:eastAsia="黑体"/>
          <w:sz w:val="28"/>
          <w:szCs w:val="28"/>
        </w:rPr>
        <w:t>、</w:t>
      </w: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pPr>
        <w:rPr>
          <w:rFonts w:hint="eastAsia"/>
        </w:rPr>
      </w:pPr>
    </w:p>
    <w:p>
      <w:pPr>
        <w:rPr>
          <w:rFonts w:hint="eastAsia"/>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YWQ5N2EzODUxMWJhZjZmYmQ5OTlkNWJhZDRjNWE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976A2"/>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1F4E94"/>
    <w:rsid w:val="03724108"/>
    <w:rsid w:val="03A03184"/>
    <w:rsid w:val="04137DFA"/>
    <w:rsid w:val="04346662"/>
    <w:rsid w:val="04655055"/>
    <w:rsid w:val="05573D16"/>
    <w:rsid w:val="05C173E2"/>
    <w:rsid w:val="05F70902"/>
    <w:rsid w:val="06CD24E2"/>
    <w:rsid w:val="079004AC"/>
    <w:rsid w:val="07CA07CF"/>
    <w:rsid w:val="09AF1FB0"/>
    <w:rsid w:val="0A851CAE"/>
    <w:rsid w:val="0D366907"/>
    <w:rsid w:val="0D8D045B"/>
    <w:rsid w:val="0E4017EB"/>
    <w:rsid w:val="0E5C02D2"/>
    <w:rsid w:val="0F256B48"/>
    <w:rsid w:val="0F8E2C57"/>
    <w:rsid w:val="1059665E"/>
    <w:rsid w:val="108D683E"/>
    <w:rsid w:val="10AC13BA"/>
    <w:rsid w:val="10B64750"/>
    <w:rsid w:val="10CD6AFE"/>
    <w:rsid w:val="122416FE"/>
    <w:rsid w:val="1285093E"/>
    <w:rsid w:val="12B72298"/>
    <w:rsid w:val="14E46C49"/>
    <w:rsid w:val="15344B89"/>
    <w:rsid w:val="15F335E7"/>
    <w:rsid w:val="16EC1A73"/>
    <w:rsid w:val="192A5572"/>
    <w:rsid w:val="19483C4A"/>
    <w:rsid w:val="1AEC0734"/>
    <w:rsid w:val="1BE25706"/>
    <w:rsid w:val="1C7E47A3"/>
    <w:rsid w:val="1D091942"/>
    <w:rsid w:val="1DEF20B0"/>
    <w:rsid w:val="1F5570C1"/>
    <w:rsid w:val="20EF154A"/>
    <w:rsid w:val="214243FA"/>
    <w:rsid w:val="21920158"/>
    <w:rsid w:val="22525B39"/>
    <w:rsid w:val="228E65E4"/>
    <w:rsid w:val="23F55382"/>
    <w:rsid w:val="257A14F5"/>
    <w:rsid w:val="27196C26"/>
    <w:rsid w:val="2845208D"/>
    <w:rsid w:val="28CA642A"/>
    <w:rsid w:val="29EF086F"/>
    <w:rsid w:val="2A621291"/>
    <w:rsid w:val="2B3C1135"/>
    <w:rsid w:val="2B665DF4"/>
    <w:rsid w:val="2BB67139"/>
    <w:rsid w:val="2C4A5E20"/>
    <w:rsid w:val="2DEB00C2"/>
    <w:rsid w:val="2EBE4CA1"/>
    <w:rsid w:val="2EFFE297"/>
    <w:rsid w:val="2F0F2DE8"/>
    <w:rsid w:val="2F6B1FE9"/>
    <w:rsid w:val="2FAF5689"/>
    <w:rsid w:val="301437CA"/>
    <w:rsid w:val="30563D4C"/>
    <w:rsid w:val="30A21A3A"/>
    <w:rsid w:val="314B0324"/>
    <w:rsid w:val="31BC0C70"/>
    <w:rsid w:val="34F565DC"/>
    <w:rsid w:val="35B644FF"/>
    <w:rsid w:val="35CB37E1"/>
    <w:rsid w:val="362A675A"/>
    <w:rsid w:val="3C4934F9"/>
    <w:rsid w:val="3CBF4A0D"/>
    <w:rsid w:val="3CDD0544"/>
    <w:rsid w:val="3DAB4624"/>
    <w:rsid w:val="3F316DAB"/>
    <w:rsid w:val="40C33A32"/>
    <w:rsid w:val="41320BB8"/>
    <w:rsid w:val="41384ACC"/>
    <w:rsid w:val="425067F9"/>
    <w:rsid w:val="433E495C"/>
    <w:rsid w:val="438D0169"/>
    <w:rsid w:val="43C875B2"/>
    <w:rsid w:val="43EC32A0"/>
    <w:rsid w:val="44D74953"/>
    <w:rsid w:val="46192347"/>
    <w:rsid w:val="46712183"/>
    <w:rsid w:val="479A5FE1"/>
    <w:rsid w:val="48285669"/>
    <w:rsid w:val="482E032B"/>
    <w:rsid w:val="48A0458E"/>
    <w:rsid w:val="48D10CB7"/>
    <w:rsid w:val="49850061"/>
    <w:rsid w:val="49EC224C"/>
    <w:rsid w:val="4AC27CB3"/>
    <w:rsid w:val="4BF72BEF"/>
    <w:rsid w:val="4C6B1581"/>
    <w:rsid w:val="4CEC07BA"/>
    <w:rsid w:val="4D5A127B"/>
    <w:rsid w:val="4E1315AB"/>
    <w:rsid w:val="4E21448E"/>
    <w:rsid w:val="4E873EBB"/>
    <w:rsid w:val="4F9D2F57"/>
    <w:rsid w:val="50146059"/>
    <w:rsid w:val="51DB3C59"/>
    <w:rsid w:val="52102850"/>
    <w:rsid w:val="526E0907"/>
    <w:rsid w:val="5435659E"/>
    <w:rsid w:val="55762E42"/>
    <w:rsid w:val="57A7B272"/>
    <w:rsid w:val="58470068"/>
    <w:rsid w:val="587B479B"/>
    <w:rsid w:val="5A1720F9"/>
    <w:rsid w:val="5AC63DC3"/>
    <w:rsid w:val="5B9C37C2"/>
    <w:rsid w:val="5BA7C654"/>
    <w:rsid w:val="5D5757D7"/>
    <w:rsid w:val="5D691457"/>
    <w:rsid w:val="5E257683"/>
    <w:rsid w:val="5EE0706A"/>
    <w:rsid w:val="60206354"/>
    <w:rsid w:val="605006FC"/>
    <w:rsid w:val="60BE4250"/>
    <w:rsid w:val="637034DA"/>
    <w:rsid w:val="64C0607C"/>
    <w:rsid w:val="659B781D"/>
    <w:rsid w:val="669D3016"/>
    <w:rsid w:val="66F145A6"/>
    <w:rsid w:val="675926EA"/>
    <w:rsid w:val="676F09E1"/>
    <w:rsid w:val="678802FD"/>
    <w:rsid w:val="68743B8F"/>
    <w:rsid w:val="6967621D"/>
    <w:rsid w:val="6A721EA2"/>
    <w:rsid w:val="6BDA52B4"/>
    <w:rsid w:val="6C8759E7"/>
    <w:rsid w:val="6C924AF7"/>
    <w:rsid w:val="6C9F6FE5"/>
    <w:rsid w:val="6E8E6B7E"/>
    <w:rsid w:val="6F2F210F"/>
    <w:rsid w:val="700C6D98"/>
    <w:rsid w:val="70283CBD"/>
    <w:rsid w:val="71A246DD"/>
    <w:rsid w:val="71AD7C63"/>
    <w:rsid w:val="71D80F80"/>
    <w:rsid w:val="725B2B9B"/>
    <w:rsid w:val="739E652A"/>
    <w:rsid w:val="75AE2269"/>
    <w:rsid w:val="76CE1E61"/>
    <w:rsid w:val="774D24BE"/>
    <w:rsid w:val="777A7A3F"/>
    <w:rsid w:val="77A65FD2"/>
    <w:rsid w:val="7829791D"/>
    <w:rsid w:val="788A485A"/>
    <w:rsid w:val="797439F5"/>
    <w:rsid w:val="79872B48"/>
    <w:rsid w:val="79892D64"/>
    <w:rsid w:val="79F521A7"/>
    <w:rsid w:val="7A7F1C49"/>
    <w:rsid w:val="7AAD6936"/>
    <w:rsid w:val="7AEA5A84"/>
    <w:rsid w:val="7B5B7AE6"/>
    <w:rsid w:val="7B6475E5"/>
    <w:rsid w:val="7BA7071E"/>
    <w:rsid w:val="7BA7127F"/>
    <w:rsid w:val="7BDF6DA8"/>
    <w:rsid w:val="7C286D9F"/>
    <w:rsid w:val="7C4B60AF"/>
    <w:rsid w:val="7C7EDC1A"/>
    <w:rsid w:val="7CCED98D"/>
    <w:rsid w:val="7D08410F"/>
    <w:rsid w:val="7DA57A41"/>
    <w:rsid w:val="7DB96DED"/>
    <w:rsid w:val="7DD3AD81"/>
    <w:rsid w:val="7E9F67E9"/>
    <w:rsid w:val="7EC30AC6"/>
    <w:rsid w:val="7EE50A3C"/>
    <w:rsid w:val="7F7FE70F"/>
    <w:rsid w:val="7F871AF4"/>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 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1"/>
          <a:lstStyle/>
          <a:p>
            <a:pPr algn="l">
              <a:defRPr lang="zh-CN" sz="1800" b="1" i="0" u="none" strike="noStrike" kern="1200" baseline="0">
                <a:solidFill>
                  <a:schemeClr val="tx1"/>
                </a:solidFill>
                <a:latin typeface="+mn-lt"/>
                <a:ea typeface="+mn-ea"/>
                <a:cs typeface="+mn-cs"/>
              </a:defRPr>
            </a:pPr>
            <a:r>
              <a:rPr lang="en-US"/>
              <a:t>收入决算</a:t>
            </a:r>
            <a:endParaRPr lang="en-US" sz="1100"/>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0"/>
              <c:layout>
                <c:manualLayout>
                  <c:x val="0.151231150948288"/>
                  <c:y val="-0.028569964122349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delete val="1"/>
            </c:dLbl>
            <c:dLbl>
              <c:idx val="5"/>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8852.51</c:v>
                </c:pt>
                <c:pt idx="1">
                  <c:v>0</c:v>
                </c:pt>
                <c:pt idx="2">
                  <c:v>0</c:v>
                </c:pt>
                <c:pt idx="3">
                  <c:v>0</c:v>
                </c:pt>
                <c:pt idx="4">
                  <c:v>0</c:v>
                </c:pt>
                <c:pt idx="5">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egendEntry>
        <c:idx val="5"/>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bg1">
                  <a:lumMod val="50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bg1">
                    <a:lumMod val="50000"/>
                  </a:schemeClr>
                </a:solidFill>
                <a:latin typeface="+mn-lt"/>
                <a:ea typeface="+mn-ea"/>
                <a:cs typeface="+mn-cs"/>
              </a:defRPr>
            </a:pPr>
            <a:r>
              <a:rPr>
                <a:solidFill>
                  <a:schemeClr val="bg1">
                    <a:lumMod val="50000"/>
                  </a:schemeClr>
                </a:solidFill>
              </a:rPr>
              <a:t>支出决算</a:t>
            </a:r>
            <a:endParaRPr>
              <a:solidFill>
                <a:schemeClr val="bg1">
                  <a:lumMod val="50000"/>
                </a:schemeClr>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spPr/>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0"/>
              <c:layout>
                <c:manualLayout>
                  <c:x val="0.0483928241704708"/>
                  <c:y val="-0.063375500633757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33928350139857"/>
                  <c:y val="0.021708837382735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7203.69</c:v>
                </c:pt>
                <c:pt idx="1">
                  <c:v>1217.82</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1"/>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4318</Words>
  <Characters>4831</Characters>
  <Lines>77</Lines>
  <Paragraphs>21</Paragraphs>
  <TotalTime>6</TotalTime>
  <ScaleCrop>false</ScaleCrop>
  <LinksUpToDate>false</LinksUpToDate>
  <CharactersWithSpaces>4849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dangjinze</cp:lastModifiedBy>
  <cp:lastPrinted>2020-08-07T11:39:00Z</cp:lastPrinted>
  <dcterms:modified xsi:type="dcterms:W3CDTF">2024-08-26T06:17:25Z</dcterms:modified>
  <dc:title>北京市财政局关于做好向市人大常委会报送2015年度市级部门决算（草案）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C53E0049DD7D4F56A956C4A3BA3D12CC_13</vt:lpwstr>
  </property>
</Properties>
</file>