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36"/>
          <w:szCs w:val="36"/>
        </w:rPr>
      </w:pP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北京市</w:t>
      </w:r>
      <w:r>
        <w:rPr>
          <w:rFonts w:ascii="方正小标宋简体" w:eastAsia="方正小标宋简体"/>
          <w:sz w:val="36"/>
          <w:szCs w:val="36"/>
        </w:rPr>
        <w:t>信访办公室</w:t>
      </w:r>
      <w:r>
        <w:rPr>
          <w:rFonts w:hint="eastAsia" w:ascii="方正小标宋简体" w:eastAsia="方正小标宋简体"/>
          <w:sz w:val="36"/>
          <w:szCs w:val="36"/>
        </w:rPr>
        <w:t>202</w:t>
      </w:r>
      <w:r>
        <w:rPr>
          <w:rFonts w:ascii="方正小标宋简体" w:eastAsia="方正小标宋简体"/>
          <w:sz w:val="36"/>
          <w:szCs w:val="36"/>
        </w:rPr>
        <w:t>3</w:t>
      </w:r>
      <w:r>
        <w:rPr>
          <w:rFonts w:hint="eastAsia" w:ascii="方正小标宋简体" w:eastAsia="方正小标宋简体"/>
          <w:sz w:val="36"/>
          <w:szCs w:val="36"/>
        </w:rPr>
        <w:t>年部门整体</w:t>
      </w: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绩效评价报告</w:t>
      </w:r>
    </w:p>
    <w:p>
      <w:pPr>
        <w:jc w:val="center"/>
        <w:rPr>
          <w:rFonts w:ascii="仿宋_GB2312"/>
          <w:szCs w:val="30"/>
        </w:rPr>
      </w:pP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（一）机构设置及职责工作任务情况</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北京市信访办公室贯彻落实党中央关于信访工作的方针政策、决策部署和市委有关工作要求，在履行职责过程中坚持和加强党对信访工作的集中统一领导。</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（二）部门整体绩效目标设立情况</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市信访办202</w:t>
      </w: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年度部门整体绩效目标的设立依据主要包括部门职能职责以及202</w:t>
      </w: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年度主要工作任务。市信访办202</w:t>
      </w: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年度部门整体绩效目标设置与部门职能定位相符，部门整体绩效目标对市信访办202</w:t>
      </w: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年度计划重点工作内容体现较为全面。设立的部门整体绩效目标如下：</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以习近平新时代中国特色社会主义思想为指导，全面贯彻落实党的二十大决策部署，深入贯彻落实党中央关于信访工作的方针政策、决策部署和市委有关工作要求，紧密围绕市委、市政府中心工作和重点任务，在履行职责过程中坚持和加强党对信访工作的集中统一领导。始终践行以人民为中心的发展思想，坚持和发展新时代“枫桥经验”，贯彻落实信访条例，畅通信访渠道，协调和推动问题解决。把化解矛盾作为信访工作的根本目的，不断夯实信访工作基层基础，带着感情和责任帮助群众解决合理诉求，不断增强人民群众获得感，推动新时代首都信访工作高质量发展。</w:t>
      </w: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w:t>
      </w:r>
      <w:r>
        <w:rPr>
          <w:rFonts w:ascii="仿宋_GB2312" w:hAnsi="宋体" w:eastAsia="仿宋_GB2312" w:cs="宋体"/>
          <w:color w:val="000000"/>
          <w:kern w:val="0"/>
          <w:sz w:val="32"/>
          <w:szCs w:val="32"/>
        </w:rPr>
        <w:t>23</w:t>
      </w:r>
      <w:r>
        <w:rPr>
          <w:rFonts w:hint="eastAsia" w:ascii="仿宋_GB2312" w:hAnsi="宋体" w:eastAsia="仿宋_GB2312" w:cs="宋体"/>
          <w:color w:val="000000"/>
          <w:kern w:val="0"/>
          <w:sz w:val="32"/>
          <w:szCs w:val="32"/>
        </w:rPr>
        <w:t>年</w:t>
      </w:r>
      <w:r>
        <w:rPr>
          <w:rFonts w:ascii="仿宋_GB2312" w:hAnsi="宋体" w:eastAsia="仿宋_GB2312" w:cs="宋体"/>
          <w:color w:val="000000"/>
          <w:kern w:val="0"/>
          <w:sz w:val="32"/>
          <w:szCs w:val="32"/>
        </w:rPr>
        <w:t>全年</w:t>
      </w:r>
      <w:r>
        <w:rPr>
          <w:rFonts w:hint="eastAsia" w:ascii="仿宋_GB2312" w:hAnsi="宋体" w:eastAsia="仿宋_GB2312" w:cs="宋体"/>
          <w:color w:val="000000"/>
          <w:kern w:val="0"/>
          <w:sz w:val="32"/>
          <w:szCs w:val="32"/>
        </w:rPr>
        <w:t>预算数</w:t>
      </w:r>
      <w:r>
        <w:rPr>
          <w:rFonts w:ascii="仿宋_GB2312" w:hAnsi="宋体" w:eastAsia="仿宋_GB2312" w:cs="宋体"/>
          <w:color w:val="000000"/>
          <w:kern w:val="0"/>
          <w:sz w:val="32"/>
          <w:szCs w:val="32"/>
        </w:rPr>
        <w:t>8852.51</w:t>
      </w:r>
      <w:r>
        <w:rPr>
          <w:rFonts w:hint="eastAsia" w:ascii="仿宋_GB2312" w:hAnsi="宋体" w:eastAsia="仿宋_GB2312" w:cs="宋体"/>
          <w:color w:val="000000"/>
          <w:kern w:val="0"/>
          <w:sz w:val="32"/>
          <w:szCs w:val="32"/>
        </w:rPr>
        <w:t>万元</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其中</w:t>
      </w:r>
      <w:r>
        <w:rPr>
          <w:rFonts w:ascii="仿宋_GB2312" w:hAnsi="宋体" w:eastAsia="仿宋_GB2312" w:cs="宋体"/>
          <w:color w:val="000000"/>
          <w:kern w:val="0"/>
          <w:sz w:val="32"/>
          <w:szCs w:val="32"/>
        </w:rPr>
        <w:t>基本</w:t>
      </w:r>
      <w:r>
        <w:rPr>
          <w:rFonts w:hint="eastAsia" w:ascii="仿宋_GB2312" w:hAnsi="宋体" w:eastAsia="仿宋_GB2312" w:cs="宋体"/>
          <w:color w:val="000000"/>
          <w:kern w:val="0"/>
          <w:sz w:val="32"/>
          <w:szCs w:val="32"/>
        </w:rPr>
        <w:t>支出</w:t>
      </w:r>
      <w:r>
        <w:rPr>
          <w:rFonts w:ascii="仿宋_GB2312" w:hAnsi="宋体" w:eastAsia="仿宋_GB2312" w:cs="宋体"/>
          <w:color w:val="000000"/>
          <w:kern w:val="0"/>
          <w:sz w:val="32"/>
          <w:szCs w:val="32"/>
        </w:rPr>
        <w:t>预算数7485.73万元，</w:t>
      </w:r>
      <w:r>
        <w:rPr>
          <w:rFonts w:hint="eastAsia" w:ascii="仿宋_GB2312" w:hAnsi="宋体" w:eastAsia="仿宋_GB2312" w:cs="宋体"/>
          <w:color w:val="000000"/>
          <w:kern w:val="0"/>
          <w:sz w:val="32"/>
          <w:szCs w:val="32"/>
        </w:rPr>
        <w:t>项目支出预算数</w:t>
      </w:r>
      <w:r>
        <w:rPr>
          <w:rFonts w:ascii="仿宋_GB2312" w:hAnsi="宋体" w:eastAsia="仿宋_GB2312" w:cs="宋体"/>
          <w:color w:val="000000"/>
          <w:kern w:val="0"/>
          <w:sz w:val="32"/>
          <w:szCs w:val="32"/>
        </w:rPr>
        <w:t>1366.76万元，其他支出</w:t>
      </w:r>
      <w:r>
        <w:rPr>
          <w:rFonts w:hint="eastAsia" w:ascii="仿宋_GB2312" w:hAnsi="宋体" w:eastAsia="仿宋_GB2312" w:cs="宋体"/>
          <w:color w:val="000000"/>
          <w:kern w:val="0"/>
          <w:sz w:val="32"/>
          <w:szCs w:val="32"/>
        </w:rPr>
        <w:t>预算数0</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资金总体</w:t>
      </w:r>
      <w:r>
        <w:rPr>
          <w:rFonts w:hint="eastAsia" w:ascii="仿宋_GB2312" w:hAnsi="宋体" w:eastAsia="仿宋_GB2312" w:cs="宋体"/>
          <w:color w:val="000000"/>
          <w:kern w:val="0"/>
          <w:sz w:val="32"/>
          <w:szCs w:val="32"/>
        </w:rPr>
        <w:t>支出</w:t>
      </w:r>
      <w:r>
        <w:rPr>
          <w:rFonts w:ascii="仿宋_GB2312" w:hAnsi="宋体" w:eastAsia="仿宋_GB2312" w:cs="宋体"/>
          <w:color w:val="000000"/>
          <w:kern w:val="0"/>
          <w:sz w:val="32"/>
          <w:szCs w:val="32"/>
        </w:rPr>
        <w:t>8421.51万元，其中，基本支出</w:t>
      </w:r>
      <w:r>
        <w:rPr>
          <w:rFonts w:hint="eastAsia" w:ascii="仿宋_GB2312" w:hAnsi="宋体" w:eastAsia="仿宋_GB2312" w:cs="宋体"/>
          <w:color w:val="000000"/>
          <w:kern w:val="0"/>
          <w:sz w:val="32"/>
          <w:szCs w:val="32"/>
        </w:rPr>
        <w:t>决算数</w:t>
      </w:r>
      <w:r>
        <w:rPr>
          <w:rFonts w:ascii="仿宋_GB2312" w:hAnsi="宋体" w:eastAsia="仿宋_GB2312" w:cs="宋体"/>
          <w:color w:val="000000"/>
          <w:kern w:val="0"/>
          <w:sz w:val="32"/>
          <w:szCs w:val="32"/>
        </w:rPr>
        <w:t>7203.69万元，项目</w:t>
      </w:r>
      <w:r>
        <w:rPr>
          <w:rFonts w:hint="eastAsia" w:ascii="仿宋_GB2312" w:hAnsi="宋体" w:eastAsia="仿宋_GB2312" w:cs="宋体"/>
          <w:color w:val="000000"/>
          <w:kern w:val="0"/>
          <w:sz w:val="32"/>
          <w:szCs w:val="32"/>
        </w:rPr>
        <w:t>支出决算数</w:t>
      </w:r>
      <w:r>
        <w:rPr>
          <w:rFonts w:ascii="仿宋_GB2312" w:hAnsi="宋体" w:eastAsia="仿宋_GB2312" w:cs="宋体"/>
          <w:color w:val="000000"/>
          <w:kern w:val="0"/>
          <w:sz w:val="32"/>
          <w:szCs w:val="32"/>
        </w:rPr>
        <w:t>1217.82万元，其他支出</w:t>
      </w:r>
      <w:r>
        <w:rPr>
          <w:rFonts w:hint="eastAsia" w:ascii="仿宋_GB2312" w:hAnsi="宋体" w:eastAsia="仿宋_GB2312" w:cs="宋体"/>
          <w:color w:val="000000"/>
          <w:kern w:val="0"/>
          <w:sz w:val="32"/>
          <w:szCs w:val="32"/>
        </w:rPr>
        <w:t>决算数0</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预算</w:t>
      </w:r>
      <w:r>
        <w:rPr>
          <w:rFonts w:ascii="仿宋_GB2312" w:hAnsi="宋体" w:eastAsia="仿宋_GB2312" w:cs="宋体"/>
          <w:color w:val="000000"/>
          <w:kern w:val="0"/>
          <w:sz w:val="32"/>
          <w:szCs w:val="32"/>
        </w:rPr>
        <w:t>执行率为95.13</w:t>
      </w:r>
      <w:r>
        <w:rPr>
          <w:rFonts w:hint="eastAsia" w:ascii="仿宋_GB2312" w:hAnsi="宋体" w:eastAsia="仿宋_GB2312" w:cs="宋体"/>
          <w:color w:val="000000"/>
          <w:kern w:val="0"/>
          <w:sz w:val="32"/>
          <w:szCs w:val="32"/>
        </w:rPr>
        <w:t>%。</w:t>
      </w:r>
    </w:p>
    <w:p>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p>
    <w:p>
      <w:pPr>
        <w:spacing w:line="600" w:lineRule="exact"/>
        <w:ind w:left="105" w:leftChars="50" w:firstLine="480" w:firstLineChars="150"/>
        <w:rPr>
          <w:rFonts w:ascii="黑体" w:hAnsi="黑体" w:eastAsia="黑体" w:cs="宋体"/>
          <w:color w:val="000000"/>
          <w:kern w:val="0"/>
          <w:sz w:val="32"/>
          <w:szCs w:val="32"/>
        </w:rPr>
      </w:pPr>
      <w:r>
        <w:rPr>
          <w:rFonts w:hint="eastAsia" w:ascii="仿宋_GB2312" w:hAnsi="宋体" w:eastAsia="仿宋_GB2312" w:cs="宋体"/>
          <w:color w:val="000000"/>
          <w:kern w:val="0"/>
          <w:sz w:val="32"/>
          <w:szCs w:val="32"/>
        </w:rPr>
        <w:t>2023年，市信访办坚持以习近平新时代中国特色社会主义思想为指导，深入学习贯彻习近平总书记关于加强和改进人民信访工作的重要思想，以开展主题教育为引领，以“学习贯彻党的二十大精神开创信访工作新局面”为主线，认真贯彻落实党中央决策部署和市委市政府工作安排，忠诚履行为民解难、为党分忧的政治责任，圆满完成年度各项任务，扎实推动新时代首都信访工作高质量发展，为服务首都改革发展稳定大局作出了积极贡献。</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（一）产出完成情况分析</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1.产出数量</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通畅信访渠道，为群众提供更为便捷的信访通道，节省群众信访成本。在接待来访工作中，提供了安全的信访接待场所，并为来访群众提供律师咨询和心理疏导服务。通过《北京信访》刊物、网站、微信公众号等传播方式开展本市信访工作相关宣传解读。通过对现有应用和软硬件，推动市信访办政务信息资源的整合、共享和开放。</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2.产出</w:t>
      </w:r>
      <w:r>
        <w:rPr>
          <w:rFonts w:ascii="仿宋_GB2312" w:hAnsi="宋体" w:eastAsia="仿宋_GB2312" w:cs="宋体"/>
          <w:color w:val="000000"/>
          <w:kern w:val="0"/>
          <w:sz w:val="32"/>
          <w:szCs w:val="32"/>
        </w:rPr>
        <w:t>质量</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围绕党中央关于信访工作的方针政策、决策部署和市委有关工作要求，深刻把握信访工作的政治性和人民性，坚持人民信访为人民，千方百计为群众排忧解难，确保新时代信访工作始终沿着正确方向前进。通过做好“送上门来的群众工作”及时传递党和政府的温暖，增强群众的获得感幸福感安全感。</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3.产出</w:t>
      </w:r>
      <w:r>
        <w:rPr>
          <w:rFonts w:ascii="仿宋_GB2312" w:hAnsi="宋体" w:eastAsia="仿宋_GB2312" w:cs="宋体"/>
          <w:color w:val="000000"/>
          <w:kern w:val="0"/>
          <w:sz w:val="32"/>
          <w:szCs w:val="32"/>
        </w:rPr>
        <w:t>进度</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仿宋_GB2312" w:eastAsia="仿宋_GB2312" w:cs="仿宋_GB2312"/>
          <w:sz w:val="32"/>
          <w:szCs w:val="32"/>
        </w:rPr>
        <w:t>按照202</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年度主要工作任务和重点项目计划进度安排，有序实施、扎实推进</w:t>
      </w:r>
      <w:r>
        <w:rPr>
          <w:rFonts w:hint="eastAsia" w:ascii="仿宋_GB2312" w:hAnsi="宋体" w:eastAsia="仿宋_GB2312" w:cs="宋体"/>
          <w:color w:val="000000"/>
          <w:kern w:val="0"/>
          <w:sz w:val="32"/>
          <w:szCs w:val="32"/>
        </w:rPr>
        <w:t>各项</w:t>
      </w:r>
      <w:r>
        <w:rPr>
          <w:rFonts w:hint="eastAsia" w:ascii="仿宋_GB2312" w:hAnsi="仿宋_GB2312" w:eastAsia="仿宋_GB2312" w:cs="仿宋_GB2312"/>
          <w:sz w:val="32"/>
          <w:szCs w:val="32"/>
        </w:rPr>
        <w:t>重点</w:t>
      </w:r>
      <w:r>
        <w:rPr>
          <w:rFonts w:hint="eastAsia" w:ascii="仿宋_GB2312" w:hAnsi="宋体" w:eastAsia="仿宋_GB2312" w:cs="宋体"/>
          <w:color w:val="000000"/>
          <w:kern w:val="0"/>
          <w:sz w:val="32"/>
          <w:szCs w:val="32"/>
        </w:rPr>
        <w:t>信访工作</w:t>
      </w:r>
      <w:r>
        <w:rPr>
          <w:rFonts w:hint="eastAsia" w:ascii="仿宋_GB2312" w:hAnsi="仿宋_GB2312" w:eastAsia="仿宋_GB2312" w:cs="仿宋_GB2312"/>
          <w:sz w:val="32"/>
          <w:szCs w:val="32"/>
        </w:rPr>
        <w:t>。截至202</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年12月31日，市信访</w:t>
      </w:r>
      <w:r>
        <w:rPr>
          <w:rFonts w:ascii="仿宋_GB2312" w:hAnsi="仿宋_GB2312" w:eastAsia="仿宋_GB2312" w:cs="仿宋_GB2312"/>
          <w:sz w:val="32"/>
          <w:szCs w:val="32"/>
        </w:rPr>
        <w:t>办</w:t>
      </w:r>
      <w:r>
        <w:rPr>
          <w:rFonts w:hint="eastAsia" w:ascii="仿宋_GB2312" w:hAnsi="仿宋_GB2312" w:eastAsia="仿宋_GB2312" w:cs="仿宋_GB2312"/>
          <w:sz w:val="32"/>
          <w:szCs w:val="32"/>
        </w:rPr>
        <w:t>年度各项绩效任务已全部完成。</w:t>
      </w:r>
    </w:p>
    <w:p>
      <w:pPr>
        <w:spacing w:line="600" w:lineRule="exact"/>
        <w:ind w:left="105" w:leftChars="50" w:firstLine="480" w:firstLineChars="15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4.</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成本</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仿宋_GB2312" w:eastAsia="仿宋_GB2312" w:cs="仿宋_GB2312"/>
          <w:sz w:val="32"/>
          <w:szCs w:val="32"/>
        </w:rPr>
        <w:t>根据年度工作目标和实际工作需要，落实过“紧日子”要求，严格按照</w:t>
      </w:r>
      <w:r>
        <w:rPr>
          <w:rFonts w:hint="eastAsia" w:ascii="仿宋_GB2312" w:hAnsi="宋体" w:eastAsia="仿宋_GB2312" w:cs="宋体"/>
          <w:color w:val="000000"/>
          <w:kern w:val="0"/>
          <w:sz w:val="32"/>
          <w:szCs w:val="32"/>
        </w:rPr>
        <w:t>202</w:t>
      </w: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年</w:t>
      </w:r>
      <w:r>
        <w:rPr>
          <w:rFonts w:ascii="仿宋_GB2312" w:hAnsi="宋体" w:eastAsia="仿宋_GB2312" w:cs="宋体"/>
          <w:color w:val="000000"/>
          <w:kern w:val="0"/>
          <w:sz w:val="32"/>
          <w:szCs w:val="32"/>
        </w:rPr>
        <w:t>全年</w:t>
      </w:r>
      <w:r>
        <w:rPr>
          <w:rFonts w:hint="eastAsia" w:ascii="仿宋_GB2312" w:hAnsi="宋体" w:eastAsia="仿宋_GB2312" w:cs="宋体"/>
          <w:color w:val="000000"/>
          <w:kern w:val="0"/>
          <w:sz w:val="32"/>
          <w:szCs w:val="32"/>
        </w:rPr>
        <w:t>预算数</w:t>
      </w:r>
      <w:r>
        <w:rPr>
          <w:rFonts w:ascii="仿宋_GB2312" w:hAnsi="宋体" w:eastAsia="仿宋_GB2312" w:cs="宋体"/>
          <w:color w:val="000000"/>
          <w:kern w:val="0"/>
          <w:sz w:val="32"/>
          <w:szCs w:val="32"/>
        </w:rPr>
        <w:t>8852.51</w:t>
      </w:r>
      <w:r>
        <w:rPr>
          <w:rFonts w:hint="eastAsia" w:ascii="仿宋_GB2312" w:hAnsi="宋体" w:eastAsia="仿宋_GB2312" w:cs="宋体"/>
          <w:color w:val="000000"/>
          <w:kern w:val="0"/>
          <w:sz w:val="32"/>
          <w:szCs w:val="32"/>
        </w:rPr>
        <w:t>万元</w:t>
      </w:r>
      <w:r>
        <w:rPr>
          <w:rFonts w:ascii="仿宋_GB2312" w:hAnsi="宋体" w:eastAsia="仿宋_GB2312" w:cs="宋体"/>
          <w:color w:val="000000"/>
          <w:kern w:val="0"/>
          <w:sz w:val="32"/>
          <w:szCs w:val="32"/>
        </w:rPr>
        <w:t>，</w:t>
      </w:r>
      <w:r>
        <w:rPr>
          <w:rFonts w:hint="eastAsia" w:ascii="仿宋_GB2312" w:hAnsi="仿宋_GB2312" w:eastAsia="仿宋_GB2312" w:cs="仿宋_GB2312"/>
          <w:sz w:val="32"/>
          <w:szCs w:val="32"/>
        </w:rPr>
        <w:t>控制各项支出，细化各项开支标准和范围，全年无超预算发生，</w:t>
      </w:r>
      <w:r>
        <w:rPr>
          <w:rFonts w:hint="eastAsia" w:ascii="仿宋_GB2312" w:hAnsi="宋体" w:eastAsia="仿宋_GB2312" w:cs="宋体"/>
          <w:color w:val="000000"/>
          <w:kern w:val="0"/>
          <w:sz w:val="32"/>
          <w:szCs w:val="32"/>
        </w:rPr>
        <w:t>各类费用控制在预算内</w:t>
      </w:r>
      <w:r>
        <w:rPr>
          <w:rFonts w:hint="eastAsia" w:ascii="仿宋_GB2312" w:hAnsi="仿宋_GB2312" w:eastAsia="仿宋_GB2312" w:cs="仿宋_GB2312"/>
          <w:sz w:val="32"/>
          <w:szCs w:val="32"/>
        </w:rPr>
        <w:t>。决算</w:t>
      </w:r>
      <w:r>
        <w:rPr>
          <w:rFonts w:hint="eastAsia" w:ascii="仿宋_GB2312" w:hAnsi="宋体" w:eastAsia="仿宋_GB2312" w:cs="宋体"/>
          <w:color w:val="000000"/>
          <w:kern w:val="0"/>
          <w:sz w:val="32"/>
          <w:szCs w:val="32"/>
        </w:rPr>
        <w:t>支出数</w:t>
      </w:r>
      <w:r>
        <w:rPr>
          <w:rFonts w:ascii="仿宋_GB2312" w:hAnsi="宋体" w:eastAsia="仿宋_GB2312" w:cs="宋体"/>
          <w:color w:val="000000"/>
          <w:kern w:val="0"/>
          <w:sz w:val="32"/>
          <w:szCs w:val="32"/>
        </w:rPr>
        <w:t>8421.51万元</w:t>
      </w:r>
      <w:r>
        <w:rPr>
          <w:rFonts w:hint="eastAsia" w:ascii="仿宋_GB2312" w:hAnsi="仿宋_GB2312" w:eastAsia="仿宋_GB2312" w:cs="仿宋_GB2312"/>
          <w:sz w:val="32"/>
          <w:szCs w:val="32"/>
        </w:rPr>
        <w:t>，实现产出成本预期目标。</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（二）效果</w:t>
      </w:r>
      <w:r>
        <w:rPr>
          <w:rFonts w:ascii="楷体_GB2312" w:eastAsia="楷体_GB2312"/>
          <w:sz w:val="32"/>
          <w:szCs w:val="32"/>
        </w:rPr>
        <w:t>实现情况分析</w:t>
      </w:r>
    </w:p>
    <w:p>
      <w:pPr>
        <w:spacing w:line="600" w:lineRule="exact"/>
        <w:ind w:left="105" w:leftChars="50" w:firstLine="480" w:firstLineChars="150"/>
        <w:rPr>
          <w:rFonts w:ascii="仿宋_GB2312" w:hAnsi="仿宋_GB2312" w:eastAsia="仿宋_GB2312" w:cs="仿宋_GB2312"/>
          <w:sz w:val="32"/>
          <w:szCs w:val="32"/>
        </w:rPr>
      </w:pPr>
      <w:r>
        <w:rPr>
          <w:rFonts w:hint="eastAsia" w:ascii="仿宋_GB2312" w:hAnsi="宋体" w:eastAsia="仿宋_GB2312" w:cs="宋体"/>
          <w:color w:val="000000"/>
          <w:kern w:val="0"/>
          <w:sz w:val="32"/>
          <w:szCs w:val="32"/>
        </w:rPr>
        <w:t>完成了20</w:t>
      </w:r>
      <w:r>
        <w:rPr>
          <w:rFonts w:ascii="仿宋_GB2312" w:hAnsi="宋体" w:eastAsia="仿宋_GB2312" w:cs="宋体"/>
          <w:color w:val="000000"/>
          <w:kern w:val="0"/>
          <w:sz w:val="32"/>
          <w:szCs w:val="32"/>
        </w:rPr>
        <w:t>23</w:t>
      </w:r>
      <w:r>
        <w:rPr>
          <w:rFonts w:hint="eastAsia" w:ascii="仿宋_GB2312" w:hAnsi="宋体" w:eastAsia="仿宋_GB2312" w:cs="宋体"/>
          <w:color w:val="000000"/>
          <w:kern w:val="0"/>
          <w:sz w:val="32"/>
          <w:szCs w:val="32"/>
        </w:rPr>
        <w:t>年北京市信访办年度工作，保障了年度内各项信访工作正常运转。通过开展《信访工作条例》落实年活动，组织《信访工作条例》实施一周年宣传月和主题宣传日等活动，取得</w:t>
      </w:r>
      <w:r>
        <w:rPr>
          <w:rFonts w:ascii="仿宋_GB2312" w:hAnsi="宋体" w:eastAsia="仿宋_GB2312" w:cs="宋体"/>
          <w:color w:val="000000"/>
          <w:kern w:val="0"/>
          <w:sz w:val="32"/>
          <w:szCs w:val="32"/>
        </w:rPr>
        <w:t>了</w:t>
      </w:r>
      <w:r>
        <w:rPr>
          <w:rFonts w:hint="eastAsia" w:ascii="仿宋_GB2312" w:hAnsi="宋体" w:eastAsia="仿宋_GB2312" w:cs="宋体"/>
          <w:color w:val="000000"/>
          <w:kern w:val="0"/>
          <w:sz w:val="32"/>
          <w:szCs w:val="32"/>
        </w:rPr>
        <w:t>良好</w:t>
      </w:r>
      <w:r>
        <w:rPr>
          <w:rFonts w:ascii="仿宋_GB2312" w:hAnsi="宋体" w:eastAsia="仿宋_GB2312" w:cs="宋体"/>
          <w:color w:val="000000"/>
          <w:kern w:val="0"/>
          <w:sz w:val="32"/>
          <w:szCs w:val="32"/>
        </w:rPr>
        <w:t>的</w:t>
      </w:r>
      <w:r>
        <w:rPr>
          <w:rFonts w:hint="eastAsia" w:ascii="仿宋_GB2312" w:hAnsi="仿宋_GB2312" w:eastAsia="仿宋_GB2312" w:cs="仿宋_GB2312"/>
          <w:sz w:val="32"/>
          <w:szCs w:val="32"/>
        </w:rPr>
        <w:t>社会效益。做好《访工作条例》配套制度建设，全面提升信访工作规范化法治</w:t>
      </w:r>
      <w:bookmarkStart w:id="0" w:name="_GoBack"/>
      <w:bookmarkEnd w:id="0"/>
      <w:r>
        <w:rPr>
          <w:rFonts w:hint="eastAsia" w:ascii="仿宋_GB2312" w:hAnsi="仿宋_GB2312" w:eastAsia="仿宋_GB2312" w:cs="仿宋_GB2312"/>
          <w:sz w:val="32"/>
          <w:szCs w:val="32"/>
        </w:rPr>
        <w:t>化制度化水平进一步优化制度、完善机制、重塑流程。在来访接待场所张贴依法依规处理信访事项相关宣传材料供信访群众查阅，提升信访干部履职能力，引导群众树立依法信访、有序维权理念</w:t>
      </w:r>
      <w:r>
        <w:rPr>
          <w:rFonts w:hint="eastAsia" w:ascii="仿宋_GB2312" w:hAnsi="宋体" w:eastAsia="仿宋_GB2312" w:cs="宋体"/>
          <w:color w:val="000000"/>
          <w:kern w:val="0"/>
          <w:sz w:val="32"/>
          <w:szCs w:val="32"/>
        </w:rPr>
        <w:t>，维护了群众合法权益</w:t>
      </w:r>
      <w:r>
        <w:rPr>
          <w:rFonts w:hint="eastAsia" w:ascii="仿宋_GB2312" w:hAnsi="仿宋_GB2312" w:eastAsia="仿宋_GB2312" w:cs="仿宋_GB2312"/>
          <w:sz w:val="32"/>
          <w:szCs w:val="32"/>
        </w:rPr>
        <w:t>。</w:t>
      </w:r>
    </w:p>
    <w:p>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（一）财务管理</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1.财务</w:t>
      </w:r>
      <w:r>
        <w:rPr>
          <w:rFonts w:ascii="仿宋_GB2312" w:hAnsi="宋体" w:eastAsia="仿宋_GB2312" w:cs="宋体"/>
          <w:color w:val="000000"/>
          <w:kern w:val="0"/>
          <w:sz w:val="32"/>
          <w:szCs w:val="32"/>
        </w:rPr>
        <w:t>管理制度健全性</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严格按照《北京市信访办内部控制制度》中有关财务管理的相关规定，在</w:t>
      </w:r>
      <w:r>
        <w:rPr>
          <w:rFonts w:hint="eastAsia" w:ascii="仿宋_GB2312" w:hAnsi="仿宋_GB2312" w:eastAsia="仿宋_GB2312" w:cs="仿宋_GB2312"/>
          <w:sz w:val="32"/>
          <w:szCs w:val="32"/>
        </w:rPr>
        <w:t>资金审批、预算管理、经费支出、资产管理、政府采购等方面对财务工作进行了监督，保障日常工作有章可循、稳步推进。</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2.资金使用合规性</w:t>
      </w:r>
      <w:r>
        <w:rPr>
          <w:rFonts w:ascii="仿宋_GB2312" w:hAnsi="宋体" w:eastAsia="仿宋_GB2312" w:cs="宋体"/>
          <w:color w:val="000000"/>
          <w:kern w:val="0"/>
          <w:sz w:val="32"/>
          <w:szCs w:val="32"/>
        </w:rPr>
        <w:t>和安全性</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仿宋_GB2312" w:eastAsia="仿宋_GB2312" w:cs="仿宋_GB2312"/>
          <w:sz w:val="32"/>
          <w:szCs w:val="32"/>
        </w:rPr>
        <w:t>资金使用严格遵照国家法律法规和有关管理制度执行。</w:t>
      </w:r>
      <w:r>
        <w:rPr>
          <w:rFonts w:hint="eastAsia" w:ascii="仿宋_GB2312" w:hAnsi="宋体" w:eastAsia="仿宋_GB2312" w:cs="宋体"/>
          <w:color w:val="000000"/>
          <w:kern w:val="0"/>
          <w:sz w:val="32"/>
          <w:szCs w:val="32"/>
        </w:rPr>
        <w:t>一是资金支出的规范，资金管理、费用标准、支付均符合我市财务相关制度规定；二是资金调整规范，严格实行预算调整审批制度。同时</w:t>
      </w:r>
      <w:r>
        <w:rPr>
          <w:rFonts w:hint="eastAsia" w:ascii="仿宋_GB2312" w:hAnsi="仿宋_GB2312" w:eastAsia="仿宋_GB2312" w:cs="仿宋_GB2312"/>
          <w:sz w:val="32"/>
          <w:szCs w:val="32"/>
        </w:rPr>
        <w:t>持续推动内部审计和监督机制建设，审计监督向全面、纵深发展，为资金高效安全的使用保驾护航。</w:t>
      </w:r>
    </w:p>
    <w:p>
      <w:pPr>
        <w:spacing w:line="600" w:lineRule="exact"/>
        <w:ind w:left="105" w:leftChars="50" w:firstLine="480" w:firstLineChars="15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会计</w:t>
      </w:r>
      <w:r>
        <w:rPr>
          <w:rFonts w:ascii="仿宋_GB2312" w:hAnsi="宋体" w:eastAsia="仿宋_GB2312" w:cs="宋体"/>
          <w:color w:val="000000"/>
          <w:kern w:val="0"/>
          <w:sz w:val="32"/>
          <w:szCs w:val="32"/>
        </w:rPr>
        <w:t>基础信息完善性</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会计核算规范、</w:t>
      </w:r>
      <w:r>
        <w:rPr>
          <w:rFonts w:ascii="仿宋_GB2312" w:hAnsi="宋体" w:eastAsia="仿宋_GB2312" w:cs="宋体"/>
          <w:color w:val="000000"/>
          <w:kern w:val="0"/>
          <w:sz w:val="32"/>
          <w:szCs w:val="32"/>
        </w:rPr>
        <w:t>基础信息</w:t>
      </w:r>
      <w:r>
        <w:rPr>
          <w:rFonts w:hint="eastAsia" w:ascii="仿宋_GB2312" w:hAnsi="宋体" w:eastAsia="仿宋_GB2312" w:cs="宋体"/>
          <w:color w:val="000000"/>
          <w:kern w:val="0"/>
          <w:sz w:val="32"/>
          <w:szCs w:val="32"/>
        </w:rPr>
        <w:t>真实，按规定设专账核算，支出凭证及其他核算均符合相关规定，按标准支出，不存在虚列支出、无截留、挤占、挪用资金等情况。</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（二）资产管理</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严格按照市财政局资产管理相关规定执行，资产安全完整、资产配置合理，资产使用和资产处置符合相关规定。</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（三）绩效</w:t>
      </w:r>
      <w:r>
        <w:rPr>
          <w:rFonts w:ascii="楷体_GB2312" w:eastAsia="楷体_GB2312"/>
          <w:sz w:val="32"/>
          <w:szCs w:val="32"/>
        </w:rPr>
        <w:t>管理</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严格按照绩效运行监控机制对项目资金使用及项目执行进度进行有效的监控并及时进行矫正。</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（四）结转结余率</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结转结余率高于上年。202</w:t>
      </w:r>
      <w:r>
        <w:rPr>
          <w:rFonts w:ascii="仿宋_GB2312" w:hAnsi="宋体" w:eastAsia="仿宋_GB2312" w:cs="宋体"/>
          <w:color w:val="000000"/>
          <w:kern w:val="0"/>
          <w:sz w:val="32"/>
          <w:szCs w:val="32"/>
        </w:rPr>
        <w:t>2</w:t>
      </w:r>
      <w:r>
        <w:rPr>
          <w:rFonts w:hint="eastAsia" w:ascii="仿宋_GB2312" w:hAnsi="宋体" w:eastAsia="仿宋_GB2312" w:cs="宋体"/>
          <w:color w:val="000000"/>
          <w:kern w:val="0"/>
          <w:sz w:val="32"/>
          <w:szCs w:val="32"/>
        </w:rPr>
        <w:t>年我单位财政拨款结转结余总额为</w:t>
      </w:r>
      <w:r>
        <w:rPr>
          <w:rFonts w:ascii="仿宋_GB2312" w:hAnsi="宋体" w:eastAsia="仿宋_GB2312" w:cs="宋体"/>
          <w:color w:val="000000"/>
          <w:kern w:val="0"/>
          <w:sz w:val="32"/>
          <w:szCs w:val="32"/>
        </w:rPr>
        <w:t>281.31</w:t>
      </w:r>
      <w:r>
        <w:rPr>
          <w:rFonts w:hint="eastAsia" w:ascii="仿宋_GB2312" w:hAnsi="宋体" w:eastAsia="仿宋_GB2312" w:cs="宋体"/>
          <w:color w:val="000000"/>
          <w:kern w:val="0"/>
          <w:sz w:val="32"/>
          <w:szCs w:val="32"/>
        </w:rPr>
        <w:t>万元，结转结余率为</w:t>
      </w:r>
      <w:r>
        <w:rPr>
          <w:rFonts w:ascii="仿宋_GB2312" w:hAnsi="宋体" w:eastAsia="仿宋_GB2312" w:cs="宋体"/>
          <w:color w:val="000000"/>
          <w:kern w:val="0"/>
          <w:sz w:val="32"/>
          <w:szCs w:val="32"/>
        </w:rPr>
        <w:t>2.92</w:t>
      </w:r>
      <w:r>
        <w:rPr>
          <w:rFonts w:hint="eastAsia" w:ascii="仿宋_GB2312" w:hAnsi="宋体" w:eastAsia="仿宋_GB2312" w:cs="宋体"/>
          <w:color w:val="000000"/>
          <w:kern w:val="0"/>
          <w:sz w:val="32"/>
          <w:szCs w:val="32"/>
        </w:rPr>
        <w:t>%。20</w:t>
      </w:r>
      <w:r>
        <w:rPr>
          <w:rFonts w:ascii="仿宋_GB2312" w:hAnsi="宋体" w:eastAsia="仿宋_GB2312" w:cs="宋体"/>
          <w:color w:val="000000"/>
          <w:kern w:val="0"/>
          <w:sz w:val="32"/>
          <w:szCs w:val="32"/>
        </w:rPr>
        <w:t>23</w:t>
      </w:r>
      <w:r>
        <w:rPr>
          <w:rFonts w:hint="eastAsia" w:ascii="仿宋_GB2312" w:hAnsi="宋体" w:eastAsia="仿宋_GB2312" w:cs="宋体"/>
          <w:color w:val="000000"/>
          <w:kern w:val="0"/>
          <w:sz w:val="32"/>
          <w:szCs w:val="32"/>
        </w:rPr>
        <w:t>年我单位财政拨款结转结余总额为</w:t>
      </w:r>
      <w:r>
        <w:rPr>
          <w:rFonts w:ascii="仿宋_GB2312" w:hAnsi="宋体" w:eastAsia="仿宋_GB2312" w:cs="宋体"/>
          <w:color w:val="000000"/>
          <w:kern w:val="0"/>
          <w:sz w:val="32"/>
          <w:szCs w:val="32"/>
        </w:rPr>
        <w:t>431</w:t>
      </w:r>
      <w:r>
        <w:rPr>
          <w:rFonts w:hint="eastAsia" w:ascii="仿宋_GB2312" w:hAnsi="宋体" w:eastAsia="仿宋_GB2312" w:cs="宋体"/>
          <w:color w:val="000000"/>
          <w:kern w:val="0"/>
          <w:sz w:val="32"/>
          <w:szCs w:val="32"/>
        </w:rPr>
        <w:t>万元，结转结余率为</w:t>
      </w:r>
      <w:r>
        <w:rPr>
          <w:rFonts w:ascii="仿宋_GB2312" w:hAnsi="宋体" w:eastAsia="仿宋_GB2312" w:cs="宋体"/>
          <w:color w:val="000000"/>
          <w:kern w:val="0"/>
          <w:sz w:val="32"/>
          <w:szCs w:val="32"/>
        </w:rPr>
        <w:t>4.87</w:t>
      </w:r>
      <w:r>
        <w:rPr>
          <w:rFonts w:hint="eastAsia" w:ascii="仿宋_GB2312" w:hAnsi="宋体" w:eastAsia="仿宋_GB2312" w:cs="宋体"/>
          <w:color w:val="000000"/>
          <w:kern w:val="0"/>
          <w:sz w:val="32"/>
          <w:szCs w:val="32"/>
        </w:rPr>
        <w:t>%。</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（五）部门</w:t>
      </w:r>
      <w:r>
        <w:rPr>
          <w:rFonts w:ascii="楷体_GB2312" w:eastAsia="楷体_GB2312"/>
          <w:sz w:val="32"/>
          <w:szCs w:val="32"/>
        </w:rPr>
        <w:t>预决算差异率</w:t>
      </w:r>
    </w:p>
    <w:p>
      <w:pPr>
        <w:spacing w:line="600" w:lineRule="exact"/>
        <w:ind w:left="105" w:leftChars="50" w:firstLine="480" w:firstLineChars="150"/>
        <w:rPr>
          <w:rFonts w:ascii="楷体_GB2312" w:eastAsia="仿宋_GB2312"/>
          <w:sz w:val="32"/>
          <w:szCs w:val="32"/>
        </w:rPr>
      </w:pPr>
      <w:r>
        <w:rPr>
          <w:rFonts w:hint="eastAsia" w:ascii="仿宋_GB2312" w:hAnsi="宋体" w:eastAsia="仿宋_GB2312" w:cs="宋体"/>
          <w:color w:val="000000"/>
          <w:kern w:val="0"/>
          <w:sz w:val="32"/>
          <w:szCs w:val="32"/>
        </w:rPr>
        <w:t>202</w:t>
      </w: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年度部门决算为</w:t>
      </w:r>
      <w:r>
        <w:rPr>
          <w:rFonts w:ascii="仿宋_GB2312" w:hAnsi="宋体" w:eastAsia="仿宋_GB2312" w:cs="宋体"/>
          <w:color w:val="000000"/>
          <w:kern w:val="0"/>
          <w:sz w:val="32"/>
          <w:szCs w:val="32"/>
        </w:rPr>
        <w:t>8852.51</w:t>
      </w:r>
      <w:r>
        <w:rPr>
          <w:rFonts w:hint="eastAsia" w:ascii="仿宋_GB2312" w:hAnsi="宋体" w:eastAsia="仿宋_GB2312" w:cs="宋体"/>
          <w:color w:val="000000"/>
          <w:kern w:val="0"/>
          <w:sz w:val="32"/>
          <w:szCs w:val="32"/>
        </w:rPr>
        <w:t>万元，年初部门预算为</w:t>
      </w:r>
      <w:r>
        <w:rPr>
          <w:rFonts w:ascii="仿宋_GB2312" w:hAnsi="宋体" w:eastAsia="仿宋_GB2312" w:cs="宋体"/>
          <w:color w:val="000000"/>
          <w:kern w:val="0"/>
          <w:sz w:val="32"/>
          <w:szCs w:val="32"/>
        </w:rPr>
        <w:t>9464.14</w:t>
      </w:r>
      <w:r>
        <w:rPr>
          <w:rFonts w:hint="eastAsia" w:ascii="仿宋_GB2312" w:hAnsi="宋体" w:eastAsia="仿宋_GB2312" w:cs="宋体"/>
          <w:color w:val="000000"/>
          <w:kern w:val="0"/>
          <w:sz w:val="32"/>
          <w:szCs w:val="32"/>
        </w:rPr>
        <w:t>万元，差异率为</w:t>
      </w:r>
      <w:r>
        <w:rPr>
          <w:rFonts w:ascii="仿宋_GB2312" w:hAnsi="宋体" w:eastAsia="仿宋_GB2312" w:cs="宋体"/>
          <w:color w:val="000000"/>
          <w:kern w:val="0"/>
          <w:sz w:val="32"/>
          <w:szCs w:val="32"/>
        </w:rPr>
        <w:t>6.46</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w:t>
      </w:r>
      <w:r>
        <w:rPr>
          <w:rFonts w:hint="eastAsia" w:ascii="仿宋_GB2312" w:hAnsi="仿宋_GB2312" w:eastAsia="仿宋_GB2312" w:cs="仿宋_GB2312"/>
          <w:sz w:val="32"/>
          <w:szCs w:val="32"/>
        </w:rPr>
        <w:t>部门预决算差异率控制情况较好</w:t>
      </w:r>
      <w:r>
        <w:rPr>
          <w:rFonts w:hint="eastAsia" w:ascii="仿宋_GB2312" w:hAnsi="宋体" w:eastAsia="仿宋_GB2312" w:cs="宋体"/>
          <w:color w:val="000000"/>
          <w:kern w:val="0"/>
          <w:sz w:val="32"/>
          <w:szCs w:val="32"/>
        </w:rPr>
        <w:t>。</w:t>
      </w:r>
    </w:p>
    <w:p>
      <w:pPr>
        <w:spacing w:line="600" w:lineRule="exact"/>
        <w:ind w:left="105" w:leftChars="50" w:firstLine="480" w:firstLineChars="150"/>
        <w:rPr>
          <w:rFonts w:ascii="黑体" w:hAnsi="黑体" w:eastAsia="黑体"/>
          <w:sz w:val="32"/>
          <w:szCs w:val="32"/>
        </w:rPr>
      </w:pPr>
      <w:r>
        <w:rPr>
          <w:rFonts w:hint="eastAsia" w:ascii="黑体" w:hAnsi="黑体" w:eastAsia="黑体"/>
          <w:sz w:val="32"/>
          <w:szCs w:val="32"/>
        </w:rPr>
        <w:t>五、总体</w:t>
      </w:r>
      <w:r>
        <w:rPr>
          <w:rFonts w:ascii="黑体" w:hAnsi="黑体" w:eastAsia="黑体"/>
          <w:sz w:val="32"/>
          <w:szCs w:val="32"/>
        </w:rPr>
        <w:t>评价结论</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p>
    <w:p>
      <w:pPr>
        <w:spacing w:line="600" w:lineRule="exact"/>
        <w:ind w:left="105" w:leftChars="50" w:firstLine="480" w:firstLineChars="150"/>
        <w:rPr>
          <w:rFonts w:hint="eastAsia" w:ascii="仿宋_GB2312" w:hAnsi="宋体" w:eastAsia="仿宋_GB2312" w:cs="宋体"/>
          <w:color w:val="000000"/>
          <w:kern w:val="0"/>
          <w:sz w:val="32"/>
          <w:szCs w:val="32"/>
          <w:highlight w:val="yellow"/>
        </w:rPr>
      </w:pPr>
      <w:r>
        <w:rPr>
          <w:rFonts w:hint="eastAsia" w:ascii="仿宋_GB2312" w:hAnsi="宋体" w:eastAsia="仿宋_GB2312" w:cs="宋体"/>
          <w:color w:val="000000"/>
          <w:kern w:val="0"/>
          <w:sz w:val="32"/>
          <w:szCs w:val="32"/>
        </w:rPr>
        <w:t>202</w:t>
      </w: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年，市</w:t>
      </w:r>
      <w:r>
        <w:rPr>
          <w:rFonts w:ascii="仿宋_GB2312" w:hAnsi="宋体" w:eastAsia="仿宋_GB2312" w:cs="宋体"/>
          <w:color w:val="000000"/>
          <w:kern w:val="0"/>
          <w:sz w:val="32"/>
          <w:szCs w:val="32"/>
        </w:rPr>
        <w:t>信访办</w:t>
      </w:r>
      <w:r>
        <w:rPr>
          <w:rFonts w:hint="eastAsia" w:ascii="仿宋_GB2312" w:hAnsi="宋体" w:eastAsia="仿宋_GB2312" w:cs="宋体"/>
          <w:color w:val="000000"/>
          <w:kern w:val="0"/>
          <w:sz w:val="32"/>
          <w:szCs w:val="32"/>
        </w:rPr>
        <w:t>在市委市政府的正确领导下，坚持以习近平新时代中国特色社会主义思想为指导，深入学习贯彻习近平总书记关于加强和改进人民信访工作的重要思想，强化工作定位，优化管理效能，较好地完成了全年各项工作目标任务。根据市财政局制定的部门整体支出绩效评价指标体系框架及评分标准，同时结合市信访办的实际情况，经综合评价后，市信访办的部门整体绩效评价综合得分</w:t>
      </w:r>
      <w:r>
        <w:rPr>
          <w:rFonts w:ascii="仿宋_GB2312" w:hAnsi="仿宋_GB2312" w:eastAsia="仿宋_GB2312" w:cs="仿宋_GB2312"/>
          <w:sz w:val="32"/>
          <w:szCs w:val="32"/>
        </w:rPr>
        <w:t>96.63</w:t>
      </w:r>
      <w:r>
        <w:rPr>
          <w:rFonts w:hint="eastAsia" w:ascii="仿宋_GB2312" w:hAnsi="宋体" w:eastAsia="仿宋_GB2312" w:cs="宋体"/>
          <w:color w:val="000000"/>
          <w:kern w:val="0"/>
          <w:sz w:val="32"/>
          <w:szCs w:val="32"/>
        </w:rPr>
        <w:t>分，绩效级别评定为“优”。有关绩效评价结论，如下表所示：</w:t>
      </w:r>
    </w:p>
    <w:tbl>
      <w:tblPr>
        <w:tblStyle w:val="5"/>
        <w:tblW w:w="0" w:type="auto"/>
        <w:jc w:val="center"/>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Layout w:type="autofit"/>
        <w:tblCellMar>
          <w:top w:w="0" w:type="dxa"/>
          <w:left w:w="108" w:type="dxa"/>
          <w:bottom w:w="0" w:type="dxa"/>
          <w:right w:w="108" w:type="dxa"/>
        </w:tblCellMar>
      </w:tblPr>
      <w:tblGrid>
        <w:gridCol w:w="3213"/>
        <w:gridCol w:w="2439"/>
        <w:gridCol w:w="2870"/>
      </w:tblGrid>
      <w:tr>
        <w:tblPrEx>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3539" w:type="dxa"/>
            <w:vAlign w:val="center"/>
          </w:tcPr>
          <w:p>
            <w:pPr>
              <w:adjustRightInd w:val="0"/>
              <w:snapToGrid w:val="0"/>
              <w:spacing w:line="52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评价内容</w:t>
            </w:r>
          </w:p>
        </w:tc>
        <w:tc>
          <w:tcPr>
            <w:tcW w:w="2652" w:type="dxa"/>
            <w:vAlign w:val="center"/>
          </w:tcPr>
          <w:p>
            <w:pPr>
              <w:adjustRightInd w:val="0"/>
              <w:snapToGrid w:val="0"/>
              <w:spacing w:line="52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分值</w:t>
            </w:r>
          </w:p>
        </w:tc>
        <w:tc>
          <w:tcPr>
            <w:tcW w:w="3096" w:type="dxa"/>
            <w:vAlign w:val="center"/>
          </w:tcPr>
          <w:p>
            <w:pPr>
              <w:adjustRightInd w:val="0"/>
              <w:snapToGrid w:val="0"/>
              <w:spacing w:line="52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评价得分</w:t>
            </w:r>
          </w:p>
        </w:tc>
      </w:tr>
      <w:tr>
        <w:tblPrEx>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3539" w:type="dxa"/>
            <w:vAlign w:val="center"/>
          </w:tcPr>
          <w:p>
            <w:pPr>
              <w:adjustRightInd w:val="0"/>
              <w:snapToGrid w:val="0"/>
              <w:spacing w:line="52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当年预算执行情况</w:t>
            </w:r>
          </w:p>
        </w:tc>
        <w:tc>
          <w:tcPr>
            <w:tcW w:w="2652" w:type="dxa"/>
            <w:vAlign w:val="center"/>
          </w:tcPr>
          <w:p>
            <w:pPr>
              <w:adjustRightInd w:val="0"/>
              <w:snapToGrid w:val="0"/>
              <w:spacing w:line="52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20</w:t>
            </w:r>
          </w:p>
        </w:tc>
        <w:tc>
          <w:tcPr>
            <w:tcW w:w="3096" w:type="dxa"/>
            <w:vAlign w:val="center"/>
          </w:tcPr>
          <w:p>
            <w:pPr>
              <w:adjustRightInd w:val="0"/>
              <w:snapToGrid w:val="0"/>
              <w:spacing w:line="520" w:lineRule="exact"/>
              <w:jc w:val="center"/>
              <w:rPr>
                <w:rFonts w:ascii="仿宋_GB2312" w:hAnsi="仿宋_GB2312" w:eastAsia="仿宋_GB2312" w:cs="仿宋_GB2312"/>
                <w:sz w:val="32"/>
                <w:szCs w:val="32"/>
              </w:rPr>
            </w:pPr>
            <w:r>
              <w:rPr>
                <w:rFonts w:ascii="仿宋_GB2312" w:hAnsi="仿宋_GB2312" w:eastAsia="仿宋_GB2312" w:cs="仿宋_GB2312"/>
                <w:sz w:val="32"/>
                <w:szCs w:val="32"/>
              </w:rPr>
              <w:t>19.03</w:t>
            </w:r>
          </w:p>
        </w:tc>
      </w:tr>
      <w:tr>
        <w:tblPrEx>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3539" w:type="dxa"/>
            <w:vAlign w:val="center"/>
          </w:tcPr>
          <w:p>
            <w:pPr>
              <w:adjustRightInd w:val="0"/>
              <w:snapToGrid w:val="0"/>
              <w:spacing w:line="52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整体绩效目标实现情况</w:t>
            </w:r>
          </w:p>
        </w:tc>
        <w:tc>
          <w:tcPr>
            <w:tcW w:w="2652" w:type="dxa"/>
            <w:vAlign w:val="center"/>
          </w:tcPr>
          <w:p>
            <w:pPr>
              <w:adjustRightInd w:val="0"/>
              <w:snapToGrid w:val="0"/>
              <w:spacing w:line="52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60</w:t>
            </w:r>
          </w:p>
        </w:tc>
        <w:tc>
          <w:tcPr>
            <w:tcW w:w="3096" w:type="dxa"/>
            <w:vAlign w:val="center"/>
          </w:tcPr>
          <w:p>
            <w:pPr>
              <w:adjustRightInd w:val="0"/>
              <w:snapToGrid w:val="0"/>
              <w:spacing w:line="520" w:lineRule="exact"/>
              <w:jc w:val="center"/>
              <w:rPr>
                <w:rFonts w:ascii="仿宋_GB2312" w:hAnsi="仿宋_GB2312" w:eastAsia="仿宋_GB2312" w:cs="仿宋_GB2312"/>
                <w:sz w:val="32"/>
                <w:szCs w:val="32"/>
              </w:rPr>
            </w:pPr>
            <w:r>
              <w:rPr>
                <w:rFonts w:ascii="仿宋_GB2312" w:hAnsi="仿宋_GB2312" w:eastAsia="仿宋_GB2312" w:cs="仿宋_GB2312"/>
                <w:sz w:val="32"/>
                <w:szCs w:val="32"/>
              </w:rPr>
              <w:t>58</w:t>
            </w:r>
          </w:p>
        </w:tc>
      </w:tr>
      <w:tr>
        <w:tblPrEx>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3539" w:type="dxa"/>
            <w:vAlign w:val="center"/>
          </w:tcPr>
          <w:p>
            <w:pPr>
              <w:adjustRightInd w:val="0"/>
              <w:snapToGrid w:val="0"/>
              <w:spacing w:line="52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预算管理情况</w:t>
            </w:r>
          </w:p>
        </w:tc>
        <w:tc>
          <w:tcPr>
            <w:tcW w:w="2652" w:type="dxa"/>
            <w:vAlign w:val="center"/>
          </w:tcPr>
          <w:p>
            <w:pPr>
              <w:adjustRightInd w:val="0"/>
              <w:snapToGrid w:val="0"/>
              <w:spacing w:line="52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20</w:t>
            </w:r>
          </w:p>
        </w:tc>
        <w:tc>
          <w:tcPr>
            <w:tcW w:w="3096" w:type="dxa"/>
            <w:vAlign w:val="center"/>
          </w:tcPr>
          <w:p>
            <w:pPr>
              <w:adjustRightInd w:val="0"/>
              <w:snapToGrid w:val="0"/>
              <w:spacing w:line="520" w:lineRule="exact"/>
              <w:jc w:val="center"/>
              <w:rPr>
                <w:rFonts w:ascii="仿宋_GB2312" w:hAnsi="仿宋_GB2312" w:eastAsia="仿宋_GB2312" w:cs="仿宋_GB2312"/>
                <w:sz w:val="32"/>
                <w:szCs w:val="32"/>
              </w:rPr>
            </w:pPr>
            <w:r>
              <w:rPr>
                <w:rFonts w:ascii="仿宋_GB2312" w:hAnsi="仿宋_GB2312" w:eastAsia="仿宋_GB2312" w:cs="仿宋_GB2312"/>
                <w:sz w:val="32"/>
                <w:szCs w:val="32"/>
              </w:rPr>
              <w:t>19.6</w:t>
            </w:r>
          </w:p>
        </w:tc>
      </w:tr>
      <w:tr>
        <w:tblPrEx>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3539" w:type="dxa"/>
            <w:vAlign w:val="center"/>
          </w:tcPr>
          <w:p>
            <w:pPr>
              <w:adjustRightInd w:val="0"/>
              <w:snapToGrid w:val="0"/>
              <w:spacing w:line="52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合 计</w:t>
            </w:r>
          </w:p>
        </w:tc>
        <w:tc>
          <w:tcPr>
            <w:tcW w:w="2652" w:type="dxa"/>
            <w:vAlign w:val="center"/>
          </w:tcPr>
          <w:p>
            <w:pPr>
              <w:adjustRightInd w:val="0"/>
              <w:snapToGrid w:val="0"/>
              <w:spacing w:line="52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100</w:t>
            </w:r>
          </w:p>
        </w:tc>
        <w:tc>
          <w:tcPr>
            <w:tcW w:w="3096" w:type="dxa"/>
            <w:vAlign w:val="center"/>
          </w:tcPr>
          <w:p>
            <w:pPr>
              <w:adjustRightInd w:val="0"/>
              <w:snapToGrid w:val="0"/>
              <w:spacing w:line="520" w:lineRule="exact"/>
              <w:jc w:val="center"/>
              <w:rPr>
                <w:rFonts w:ascii="仿宋_GB2312" w:hAnsi="仿宋_GB2312" w:eastAsia="仿宋_GB2312" w:cs="仿宋_GB2312"/>
                <w:sz w:val="32"/>
                <w:szCs w:val="32"/>
              </w:rPr>
            </w:pPr>
            <w:r>
              <w:rPr>
                <w:rFonts w:ascii="仿宋_GB2312" w:hAnsi="仿宋_GB2312" w:eastAsia="仿宋_GB2312" w:cs="仿宋_GB2312"/>
                <w:sz w:val="32"/>
                <w:szCs w:val="32"/>
              </w:rPr>
              <w:t>96.63</w:t>
            </w:r>
            <w:r>
              <w:rPr>
                <w:rFonts w:hint="eastAsia" w:ascii="仿宋_GB2312" w:hAnsi="仿宋_GB2312" w:eastAsia="仿宋_GB2312" w:cs="仿宋_GB2312"/>
                <w:sz w:val="32"/>
                <w:szCs w:val="32"/>
              </w:rPr>
              <w:t xml:space="preserve"> </w:t>
            </w:r>
          </w:p>
        </w:tc>
      </w:tr>
      <w:tr>
        <w:tblPrEx>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3539" w:type="dxa"/>
            <w:vAlign w:val="center"/>
          </w:tcPr>
          <w:p>
            <w:pPr>
              <w:adjustRightInd w:val="0"/>
              <w:snapToGrid w:val="0"/>
              <w:spacing w:line="52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绩效评定级别</w:t>
            </w:r>
          </w:p>
        </w:tc>
        <w:tc>
          <w:tcPr>
            <w:tcW w:w="5748" w:type="dxa"/>
            <w:gridSpan w:val="2"/>
            <w:vAlign w:val="center"/>
          </w:tcPr>
          <w:p>
            <w:pPr>
              <w:adjustRightInd w:val="0"/>
              <w:snapToGrid w:val="0"/>
              <w:spacing w:line="52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优</w:t>
            </w:r>
          </w:p>
        </w:tc>
      </w:tr>
    </w:tbl>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（二）存在的问题及原因分析</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w:t>
      </w:r>
      <w:r>
        <w:rPr>
          <w:rFonts w:hint="eastAsia" w:ascii="仿宋_GB2312" w:hAnsi="仿宋_GB2312" w:eastAsia="仿宋_GB2312" w:cs="仿宋_GB2312"/>
          <w:sz w:val="32"/>
          <w:szCs w:val="32"/>
        </w:rPr>
        <w:t>部门整体绩效目标不够细化。</w:t>
      </w:r>
      <w:r>
        <w:rPr>
          <w:rFonts w:hint="eastAsia" w:ascii="仿宋_GB2312" w:hAnsi="宋体" w:eastAsia="仿宋_GB2312" w:cs="宋体"/>
          <w:color w:val="000000"/>
          <w:kern w:val="0"/>
          <w:sz w:val="32"/>
          <w:szCs w:val="32"/>
        </w:rPr>
        <w:t>市信访办</w:t>
      </w:r>
      <w:r>
        <w:rPr>
          <w:rFonts w:hint="eastAsia" w:ascii="仿宋_GB2312" w:hAnsi="仿宋_GB2312" w:eastAsia="仿宋_GB2312" w:cs="仿宋_GB2312"/>
          <w:sz w:val="32"/>
          <w:szCs w:val="32"/>
        </w:rPr>
        <w:t>目前整体绩效目标设定主要依据为部门职责和年度重点工作任务，但因承担的信访保障业务类别多样，整体绩效目标要到达全面性和</w:t>
      </w:r>
      <w:r>
        <w:rPr>
          <w:rFonts w:ascii="仿宋_GB2312" w:hAnsi="仿宋_GB2312" w:eastAsia="仿宋_GB2312" w:cs="仿宋_GB2312"/>
          <w:sz w:val="32"/>
          <w:szCs w:val="32"/>
        </w:rPr>
        <w:t>细化性</w:t>
      </w:r>
      <w:r>
        <w:rPr>
          <w:rFonts w:hint="eastAsia" w:ascii="仿宋_GB2312" w:hAnsi="仿宋_GB2312" w:eastAsia="仿宋_GB2312" w:cs="仿宋_GB2312"/>
          <w:sz w:val="32"/>
          <w:szCs w:val="32"/>
        </w:rPr>
        <w:t>难度较大，整体绩效目标设定的科学性、明确性以及细化程度有待进一步提高。</w:t>
      </w:r>
    </w:p>
    <w:p>
      <w:pPr>
        <w:spacing w:line="600" w:lineRule="exact"/>
        <w:ind w:left="105" w:leftChars="50" w:firstLine="480" w:firstLineChars="150"/>
        <w:rPr>
          <w:rFonts w:ascii="楷体_GB2312" w:eastAsia="楷体_GB2312"/>
          <w:sz w:val="32"/>
          <w:szCs w:val="32"/>
        </w:rPr>
      </w:pPr>
      <w:r>
        <w:rPr>
          <w:rFonts w:hint="eastAsia" w:ascii="仿宋_GB2312" w:hAnsi="宋体" w:eastAsia="仿宋_GB2312" w:cs="宋体"/>
          <w:color w:val="000000"/>
          <w:kern w:val="0"/>
          <w:sz w:val="32"/>
          <w:szCs w:val="32"/>
        </w:rPr>
        <w:t>2.绩效指标体系建设有待进一步加强。对照预算绩效管理体系要求，</w:t>
      </w:r>
      <w:r>
        <w:rPr>
          <w:rFonts w:hint="eastAsia" w:ascii="仿宋_GB2312" w:hAnsi="仿宋_GB2312" w:eastAsia="仿宋_GB2312" w:cs="仿宋_GB2312"/>
          <w:sz w:val="32"/>
          <w:szCs w:val="32"/>
        </w:rPr>
        <w:t>《部门整体绩效目标申报表》填报还不够细化，部门产出和效果指标设置量化程度不够，不利于后期考核。部分项目绩效指标设置不够合理，效益指标，内容设置宽泛，可衡量性不足，有待进一步完善。</w:t>
      </w:r>
    </w:p>
    <w:p>
      <w:pPr>
        <w:spacing w:line="600" w:lineRule="exact"/>
        <w:ind w:firstLine="640" w:firstLineChars="200"/>
        <w:rPr>
          <w:rFonts w:ascii="仿宋_GB2312" w:hAnsi="宋体" w:eastAsia="仿宋_GB2312" w:cs="宋体"/>
          <w:color w:val="000000"/>
          <w:kern w:val="0"/>
          <w:sz w:val="32"/>
          <w:szCs w:val="32"/>
        </w:rPr>
      </w:pPr>
      <w:r>
        <w:rPr>
          <w:rFonts w:hint="eastAsia" w:ascii="黑体" w:hAnsi="黑体" w:eastAsia="黑体" w:cs="宋体"/>
          <w:color w:val="000000"/>
          <w:kern w:val="0"/>
          <w:sz w:val="32"/>
          <w:szCs w:val="32"/>
        </w:rPr>
        <w:t>六、措施建议</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我部门今后将重点针对存在的问题，做好以下</w:t>
      </w:r>
      <w:r>
        <w:rPr>
          <w:rFonts w:ascii="仿宋_GB2312" w:hAnsi="宋体" w:eastAsia="仿宋_GB2312" w:cs="宋体"/>
          <w:color w:val="000000"/>
          <w:kern w:val="0"/>
          <w:sz w:val="32"/>
          <w:szCs w:val="32"/>
        </w:rPr>
        <w:t>两个方面的管理</w:t>
      </w:r>
      <w:r>
        <w:rPr>
          <w:rFonts w:hint="eastAsia" w:ascii="仿宋_GB2312" w:hAnsi="宋体" w:eastAsia="仿宋_GB2312" w:cs="宋体"/>
          <w:color w:val="000000"/>
          <w:kern w:val="0"/>
          <w:sz w:val="32"/>
          <w:szCs w:val="32"/>
        </w:rPr>
        <w:t>：</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一是充分发挥整体绩效目标的统领</w:t>
      </w:r>
      <w:r>
        <w:rPr>
          <w:rFonts w:ascii="仿宋_GB2312" w:hAnsi="宋体" w:eastAsia="仿宋_GB2312" w:cs="宋体"/>
          <w:color w:val="000000"/>
          <w:kern w:val="0"/>
          <w:sz w:val="32"/>
          <w:szCs w:val="32"/>
        </w:rPr>
        <w:t>作用</w:t>
      </w:r>
      <w:r>
        <w:rPr>
          <w:rFonts w:hint="eastAsia" w:ascii="仿宋_GB2312" w:hAnsi="宋体" w:eastAsia="仿宋_GB2312" w:cs="宋体"/>
          <w:color w:val="000000"/>
          <w:kern w:val="0"/>
          <w:sz w:val="32"/>
          <w:szCs w:val="32"/>
        </w:rPr>
        <w:t>。在</w:t>
      </w:r>
      <w:r>
        <w:rPr>
          <w:rFonts w:ascii="仿宋_GB2312" w:hAnsi="宋体" w:eastAsia="仿宋_GB2312" w:cs="宋体"/>
          <w:color w:val="000000"/>
          <w:kern w:val="0"/>
          <w:sz w:val="32"/>
          <w:szCs w:val="32"/>
        </w:rPr>
        <w:t>编制</w:t>
      </w:r>
      <w:r>
        <w:rPr>
          <w:rFonts w:hint="eastAsia" w:ascii="仿宋_GB2312" w:hAnsi="宋体" w:eastAsia="仿宋_GB2312" w:cs="宋体"/>
          <w:color w:val="000000"/>
          <w:kern w:val="0"/>
          <w:sz w:val="32"/>
          <w:szCs w:val="32"/>
        </w:rPr>
        <w:t>年度</w:t>
      </w:r>
      <w:r>
        <w:rPr>
          <w:rFonts w:ascii="仿宋_GB2312" w:hAnsi="宋体" w:eastAsia="仿宋_GB2312" w:cs="宋体"/>
          <w:color w:val="000000"/>
          <w:kern w:val="0"/>
          <w:sz w:val="32"/>
          <w:szCs w:val="32"/>
        </w:rPr>
        <w:t>预算</w:t>
      </w:r>
      <w:r>
        <w:rPr>
          <w:rFonts w:hint="eastAsia" w:ascii="仿宋_GB2312" w:hAnsi="宋体" w:eastAsia="仿宋_GB2312" w:cs="宋体"/>
          <w:color w:val="000000"/>
          <w:kern w:val="0"/>
          <w:sz w:val="32"/>
          <w:szCs w:val="32"/>
        </w:rPr>
        <w:t>时</w:t>
      </w:r>
      <w:r>
        <w:rPr>
          <w:rFonts w:ascii="仿宋_GB2312" w:hAnsi="宋体" w:eastAsia="仿宋_GB2312" w:cs="宋体"/>
          <w:color w:val="000000"/>
          <w:kern w:val="0"/>
          <w:sz w:val="32"/>
          <w:szCs w:val="32"/>
        </w:rPr>
        <w:t>要进一步</w:t>
      </w:r>
      <w:r>
        <w:rPr>
          <w:rFonts w:hint="eastAsia" w:ascii="仿宋_GB2312" w:hAnsi="宋体" w:eastAsia="仿宋_GB2312" w:cs="宋体"/>
          <w:color w:val="000000"/>
          <w:kern w:val="0"/>
          <w:sz w:val="32"/>
          <w:szCs w:val="32"/>
        </w:rPr>
        <w:t>科学、合理、规范地设定部门绩效目标，以部门的职能定位和年度工作任务作为切入点，全面反映部门绩效，并将各相关职能或工作内容反映在分项指标中，细化、量化绩效指标。</w:t>
      </w:r>
    </w:p>
    <w:p>
      <w:pPr>
        <w:spacing w:line="600" w:lineRule="exact"/>
        <w:ind w:firstLine="640" w:firstLineChars="200"/>
        <w:rPr>
          <w:rFonts w:hint="eastAsia" w:ascii="楷体_GB2312" w:eastAsia="楷体_GB2312"/>
          <w:sz w:val="32"/>
          <w:szCs w:val="32"/>
        </w:rPr>
      </w:pPr>
      <w:r>
        <w:rPr>
          <w:rFonts w:hint="eastAsia" w:ascii="仿宋_GB2312" w:hAnsi="宋体" w:eastAsia="仿宋_GB2312" w:cs="宋体"/>
          <w:color w:val="000000"/>
          <w:kern w:val="0"/>
          <w:sz w:val="32"/>
          <w:szCs w:val="32"/>
        </w:rPr>
        <w:t>二是要进一步加强预算绩效管理。首先开展预算绩效指标体系设计，完善全局部门整体支出绩效和项目支出绩效评价指标体系框架。其次针对每个项目特点，深入挖掘每个项目的产出和效益，把项目的实际产出和效益能直观体现在绩效指标上。最后加强业务处室（中心）相关人员绩效意识，调动绩效管理的积极性，让项目实施相关人员认识绩效评价的意义，掌握绩效管理的要点，在实施过程中形成符合</w:t>
      </w:r>
      <w:r>
        <w:rPr>
          <w:rFonts w:ascii="仿宋_GB2312" w:hAnsi="宋体" w:eastAsia="仿宋_GB2312" w:cs="宋体"/>
          <w:color w:val="000000"/>
          <w:kern w:val="0"/>
          <w:sz w:val="32"/>
          <w:szCs w:val="32"/>
        </w:rPr>
        <w:t>项目</w:t>
      </w:r>
      <w:r>
        <w:rPr>
          <w:rFonts w:hint="eastAsia" w:ascii="仿宋_GB2312" w:hAnsi="宋体" w:eastAsia="仿宋_GB2312" w:cs="宋体"/>
          <w:color w:val="000000"/>
          <w:kern w:val="0"/>
          <w:sz w:val="32"/>
          <w:szCs w:val="32"/>
        </w:rPr>
        <w:t>特点的绩效管理模式。</w:t>
      </w:r>
    </w:p>
    <w:p>
      <w:pPr>
        <w:widowControl/>
        <w:jc w:val="center"/>
        <w:rPr>
          <w:rFonts w:ascii="方正小标宋简体" w:hAnsi="黑体" w:eastAsia="方正小标宋简体" w:cs="宋体"/>
          <w:color w:val="000000"/>
          <w:kern w:val="0"/>
          <w:sz w:val="44"/>
          <w:szCs w:val="44"/>
        </w:rPr>
        <w:sectPr>
          <w:footerReference r:id="rId3" w:type="default"/>
          <w:pgSz w:w="11906" w:h="16838"/>
          <w:pgMar w:top="1440" w:right="1800" w:bottom="1440" w:left="1800" w:header="851" w:footer="992" w:gutter="0"/>
          <w:pgNumType w:fmt="numberInDash"/>
          <w:cols w:space="425" w:num="1"/>
          <w:docGrid w:type="lines" w:linePitch="312" w:charSpace="0"/>
        </w:sectPr>
      </w:pPr>
    </w:p>
    <w:tbl>
      <w:tblPr>
        <w:tblStyle w:val="5"/>
        <w:tblW w:w="14174" w:type="dxa"/>
        <w:tblInd w:w="0" w:type="dxa"/>
        <w:tblLayout w:type="fixed"/>
        <w:tblCellMar>
          <w:top w:w="0" w:type="dxa"/>
          <w:left w:w="108" w:type="dxa"/>
          <w:bottom w:w="0" w:type="dxa"/>
          <w:right w:w="108" w:type="dxa"/>
        </w:tblCellMar>
      </w:tblPr>
      <w:tblGrid>
        <w:gridCol w:w="997"/>
        <w:gridCol w:w="1035"/>
        <w:gridCol w:w="663"/>
        <w:gridCol w:w="724"/>
        <w:gridCol w:w="915"/>
        <w:gridCol w:w="658"/>
        <w:gridCol w:w="786"/>
        <w:gridCol w:w="4087"/>
        <w:gridCol w:w="4309"/>
      </w:tblGrid>
      <w:tr>
        <w:tblPrEx>
          <w:tblCellMar>
            <w:top w:w="0" w:type="dxa"/>
            <w:left w:w="108" w:type="dxa"/>
            <w:bottom w:w="0" w:type="dxa"/>
            <w:right w:w="108" w:type="dxa"/>
          </w:tblCellMar>
        </w:tblPrEx>
        <w:trPr>
          <w:trHeight w:val="499" w:hRule="atLeast"/>
        </w:trPr>
        <w:tc>
          <w:tcPr>
            <w:tcW w:w="14174" w:type="dxa"/>
            <w:gridSpan w:val="9"/>
            <w:tcBorders>
              <w:top w:val="nil"/>
              <w:left w:val="nil"/>
              <w:bottom w:val="single" w:color="auto" w:sz="4" w:space="0"/>
              <w:right w:val="nil"/>
            </w:tcBorders>
            <w:noWrap/>
            <w:vAlign w:val="bottom"/>
          </w:tcPr>
          <w:p>
            <w:pPr>
              <w:widowControl/>
              <w:jc w:val="center"/>
              <w:rPr>
                <w:rFonts w:ascii="方正小标宋简体" w:hAnsi="黑体" w:eastAsia="方正小标宋简体" w:cs="宋体"/>
                <w:color w:val="000000"/>
                <w:kern w:val="0"/>
                <w:sz w:val="44"/>
                <w:szCs w:val="44"/>
              </w:rPr>
            </w:pPr>
            <w:r>
              <w:rPr>
                <w:rFonts w:hint="eastAsia" w:ascii="方正小标宋简体" w:hAnsi="黑体" w:eastAsia="方正小标宋简体" w:cs="宋体"/>
                <w:color w:val="000000"/>
                <w:kern w:val="0"/>
                <w:sz w:val="44"/>
                <w:szCs w:val="44"/>
              </w:rPr>
              <w:t>202</w:t>
            </w:r>
            <w:r>
              <w:rPr>
                <w:rFonts w:ascii="方正小标宋简体" w:hAnsi="黑体" w:eastAsia="方正小标宋简体" w:cs="宋体"/>
                <w:color w:val="000000"/>
                <w:kern w:val="0"/>
                <w:sz w:val="44"/>
                <w:szCs w:val="44"/>
              </w:rPr>
              <w:t>3</w:t>
            </w:r>
            <w:r>
              <w:rPr>
                <w:rFonts w:hint="eastAsia" w:ascii="方正小标宋简体" w:hAnsi="黑体" w:eastAsia="方正小标宋简体" w:cs="宋体"/>
                <w:color w:val="000000"/>
                <w:kern w:val="0"/>
                <w:sz w:val="44"/>
                <w:szCs w:val="44"/>
              </w:rPr>
              <w:t>年部门整体绩效评价指标体系评分表</w:t>
            </w:r>
          </w:p>
        </w:tc>
      </w:tr>
      <w:tr>
        <w:tblPrEx>
          <w:tblCellMar>
            <w:top w:w="0" w:type="dxa"/>
            <w:left w:w="108" w:type="dxa"/>
            <w:bottom w:w="0" w:type="dxa"/>
            <w:right w:w="108" w:type="dxa"/>
          </w:tblCellMar>
        </w:tblPrEx>
        <w:trPr>
          <w:trHeight w:val="470" w:hRule="atLeast"/>
        </w:trPr>
        <w:tc>
          <w:tcPr>
            <w:tcW w:w="14174" w:type="dxa"/>
            <w:gridSpan w:val="9"/>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一、</w:t>
            </w:r>
            <w:r>
              <w:rPr>
                <w:rFonts w:hint="eastAsia" w:ascii="宋体" w:hAnsi="宋体" w:cs="宋体"/>
                <w:color w:val="000000"/>
                <w:kern w:val="0"/>
                <w:sz w:val="20"/>
                <w:szCs w:val="20"/>
              </w:rPr>
              <w:t>当年预算执行情况（20分）</w:t>
            </w:r>
          </w:p>
        </w:tc>
      </w:tr>
      <w:tr>
        <w:tblPrEx>
          <w:tblCellMar>
            <w:top w:w="0" w:type="dxa"/>
            <w:left w:w="108" w:type="dxa"/>
            <w:bottom w:w="0" w:type="dxa"/>
            <w:right w:w="108" w:type="dxa"/>
          </w:tblCellMar>
        </w:tblPrEx>
        <w:trPr>
          <w:trHeight w:val="660" w:hRule="atLeast"/>
        </w:trPr>
        <w:tc>
          <w:tcPr>
            <w:tcW w:w="99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66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预算数（万元）</w:t>
            </w:r>
          </w:p>
        </w:tc>
        <w:tc>
          <w:tcPr>
            <w:tcW w:w="7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执行数（万元）</w:t>
            </w:r>
          </w:p>
        </w:tc>
        <w:tc>
          <w:tcPr>
            <w:tcW w:w="91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预算执行率</w:t>
            </w:r>
          </w:p>
        </w:tc>
        <w:tc>
          <w:tcPr>
            <w:tcW w:w="65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7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40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指标解释</w:t>
            </w:r>
          </w:p>
        </w:tc>
        <w:tc>
          <w:tcPr>
            <w:tcW w:w="4309"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评分标准</w:t>
            </w:r>
          </w:p>
        </w:tc>
      </w:tr>
      <w:tr>
        <w:tblPrEx>
          <w:tblCellMar>
            <w:top w:w="0" w:type="dxa"/>
            <w:left w:w="108" w:type="dxa"/>
            <w:bottom w:w="0" w:type="dxa"/>
            <w:right w:w="108" w:type="dxa"/>
          </w:tblCellMar>
        </w:tblPrEx>
        <w:trPr>
          <w:trHeight w:val="630" w:hRule="atLeast"/>
        </w:trPr>
        <w:tc>
          <w:tcPr>
            <w:tcW w:w="997"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当年预算执行情况（20）</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资金总体</w:t>
            </w:r>
          </w:p>
        </w:tc>
        <w:tc>
          <w:tcPr>
            <w:tcW w:w="66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8852.51</w:t>
            </w:r>
            <w:r>
              <w:rPr>
                <w:rFonts w:hint="eastAsia" w:ascii="宋体" w:hAnsi="宋体" w:cs="宋体"/>
                <w:color w:val="000000"/>
                <w:kern w:val="0"/>
                <w:sz w:val="20"/>
                <w:szCs w:val="20"/>
              </w:rPr>
              <w:t>　</w:t>
            </w:r>
          </w:p>
        </w:tc>
        <w:tc>
          <w:tcPr>
            <w:tcW w:w="7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8421.51</w:t>
            </w:r>
            <w:r>
              <w:rPr>
                <w:rFonts w:hint="eastAsia" w:ascii="宋体" w:hAnsi="宋体" w:cs="宋体"/>
                <w:color w:val="000000"/>
                <w:kern w:val="0"/>
                <w:sz w:val="20"/>
                <w:szCs w:val="20"/>
              </w:rPr>
              <w:t>　</w:t>
            </w:r>
          </w:p>
        </w:tc>
        <w:tc>
          <w:tcPr>
            <w:tcW w:w="91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95.13</w:t>
            </w:r>
            <w:r>
              <w:rPr>
                <w:rFonts w:hint="eastAsia" w:ascii="宋体" w:hAnsi="宋体" w:cs="宋体"/>
                <w:color w:val="000000"/>
                <w:kern w:val="0"/>
                <w:sz w:val="20"/>
                <w:szCs w:val="20"/>
              </w:rPr>
              <w:t>%　</w:t>
            </w:r>
          </w:p>
        </w:tc>
        <w:tc>
          <w:tcPr>
            <w:tcW w:w="658"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786"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19.</w:t>
            </w:r>
            <w:r>
              <w:rPr>
                <w:rFonts w:ascii="宋体" w:hAnsi="宋体" w:cs="宋体"/>
                <w:color w:val="000000"/>
                <w:kern w:val="0"/>
                <w:sz w:val="20"/>
                <w:szCs w:val="20"/>
              </w:rPr>
              <w:t>03</w:t>
            </w:r>
            <w:r>
              <w:rPr>
                <w:rFonts w:hint="eastAsia" w:ascii="宋体" w:hAnsi="宋体" w:cs="宋体"/>
                <w:color w:val="000000"/>
                <w:kern w:val="0"/>
                <w:sz w:val="20"/>
                <w:szCs w:val="20"/>
              </w:rPr>
              <w:t>　</w:t>
            </w:r>
          </w:p>
        </w:tc>
        <w:tc>
          <w:tcPr>
            <w:tcW w:w="4087"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部门全年执行数与全年预算数的比率。资金总体=基本支出+项目支出+其他</w:t>
            </w:r>
          </w:p>
        </w:tc>
        <w:tc>
          <w:tcPr>
            <w:tcW w:w="4309" w:type="dxa"/>
            <w:vMerge w:val="restart"/>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rPr>
              <w:t>①得分一档最高不能超过该指标分值上限（20分）。</w:t>
            </w:r>
          </w:p>
          <w:p>
            <w:pPr>
              <w:widowControl/>
              <w:jc w:val="left"/>
              <w:rPr>
                <w:rFonts w:ascii="宋体" w:hAnsi="宋体" w:cs="宋体"/>
                <w:color w:val="000000"/>
                <w:kern w:val="0"/>
                <w:sz w:val="18"/>
                <w:szCs w:val="18"/>
              </w:rPr>
            </w:pPr>
            <w:r>
              <w:rPr>
                <w:rFonts w:hint="eastAsia" w:ascii="宋体" w:hAnsi="宋体" w:cs="宋体"/>
                <w:color w:val="000000"/>
                <w:kern w:val="0"/>
                <w:sz w:val="18"/>
                <w:szCs w:val="18"/>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tblPrEx>
          <w:tblCellMar>
            <w:top w:w="0" w:type="dxa"/>
            <w:left w:w="108" w:type="dxa"/>
            <w:bottom w:w="0" w:type="dxa"/>
            <w:right w:w="108" w:type="dxa"/>
          </w:tblCellMar>
        </w:tblPrEx>
        <w:trPr>
          <w:trHeight w:val="600" w:hRule="atLeast"/>
        </w:trPr>
        <w:tc>
          <w:tcPr>
            <w:tcW w:w="99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1035" w:type="dxa"/>
            <w:tcBorders>
              <w:top w:val="single" w:color="auto" w:sz="4" w:space="0"/>
              <w:left w:val="single" w:color="auto" w:sz="4" w:space="0"/>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基本支出</w:t>
            </w:r>
          </w:p>
        </w:tc>
        <w:tc>
          <w:tcPr>
            <w:tcW w:w="66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7485.74</w:t>
            </w:r>
            <w:r>
              <w:rPr>
                <w:rFonts w:hint="eastAsia" w:ascii="宋体" w:hAnsi="宋体" w:cs="宋体"/>
                <w:color w:val="000000"/>
                <w:kern w:val="0"/>
                <w:sz w:val="20"/>
                <w:szCs w:val="20"/>
              </w:rPr>
              <w:t>　</w:t>
            </w:r>
          </w:p>
        </w:tc>
        <w:tc>
          <w:tcPr>
            <w:tcW w:w="72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7203.69</w:t>
            </w:r>
            <w:r>
              <w:rPr>
                <w:rFonts w:hint="eastAsia" w:ascii="宋体" w:hAnsi="宋体" w:cs="宋体"/>
                <w:color w:val="000000"/>
                <w:kern w:val="0"/>
                <w:sz w:val="20"/>
                <w:szCs w:val="20"/>
              </w:rPr>
              <w:t>　</w:t>
            </w:r>
          </w:p>
        </w:tc>
        <w:tc>
          <w:tcPr>
            <w:tcW w:w="91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65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86" w:type="dxa"/>
            <w:vMerge w:val="continue"/>
            <w:tcBorders>
              <w:top w:val="single" w:color="auto" w:sz="4" w:space="0"/>
              <w:left w:val="nil"/>
              <w:bottom w:val="single" w:color="auto" w:sz="4" w:space="0"/>
              <w:right w:val="nil"/>
            </w:tcBorders>
            <w:vAlign w:val="center"/>
          </w:tcPr>
          <w:p>
            <w:pPr>
              <w:widowControl/>
              <w:jc w:val="left"/>
              <w:rPr>
                <w:rFonts w:ascii="宋体" w:hAnsi="宋体" w:cs="宋体"/>
                <w:color w:val="000000"/>
                <w:kern w:val="0"/>
                <w:sz w:val="20"/>
                <w:szCs w:val="20"/>
              </w:rPr>
            </w:pPr>
          </w:p>
        </w:tc>
        <w:tc>
          <w:tcPr>
            <w:tcW w:w="40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43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615" w:hRule="atLeast"/>
        </w:trPr>
        <w:tc>
          <w:tcPr>
            <w:tcW w:w="99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1035" w:type="dxa"/>
            <w:tcBorders>
              <w:top w:val="single" w:color="auto" w:sz="4" w:space="0"/>
              <w:left w:val="single" w:color="auto" w:sz="4" w:space="0"/>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项目支出</w:t>
            </w:r>
          </w:p>
        </w:tc>
        <w:tc>
          <w:tcPr>
            <w:tcW w:w="66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1366.77</w:t>
            </w:r>
            <w:r>
              <w:rPr>
                <w:rFonts w:hint="eastAsia" w:ascii="宋体" w:hAnsi="宋体" w:cs="宋体"/>
                <w:color w:val="000000"/>
                <w:kern w:val="0"/>
                <w:sz w:val="20"/>
                <w:szCs w:val="20"/>
              </w:rPr>
              <w:t>　</w:t>
            </w:r>
          </w:p>
        </w:tc>
        <w:tc>
          <w:tcPr>
            <w:tcW w:w="72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1217.82</w:t>
            </w:r>
            <w:r>
              <w:rPr>
                <w:rFonts w:hint="eastAsia" w:ascii="宋体" w:hAnsi="宋体" w:cs="宋体"/>
                <w:color w:val="000000"/>
                <w:kern w:val="0"/>
                <w:sz w:val="20"/>
                <w:szCs w:val="20"/>
              </w:rPr>
              <w:t>　</w:t>
            </w:r>
          </w:p>
        </w:tc>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65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86" w:type="dxa"/>
            <w:vMerge w:val="continue"/>
            <w:tcBorders>
              <w:top w:val="single" w:color="auto" w:sz="4" w:space="0"/>
              <w:left w:val="nil"/>
              <w:bottom w:val="single" w:color="auto" w:sz="4" w:space="0"/>
              <w:right w:val="nil"/>
            </w:tcBorders>
            <w:vAlign w:val="center"/>
          </w:tcPr>
          <w:p>
            <w:pPr>
              <w:widowControl/>
              <w:jc w:val="left"/>
              <w:rPr>
                <w:rFonts w:ascii="宋体" w:hAnsi="宋体" w:cs="宋体"/>
                <w:color w:val="000000"/>
                <w:kern w:val="0"/>
                <w:sz w:val="20"/>
                <w:szCs w:val="20"/>
              </w:rPr>
            </w:pPr>
          </w:p>
        </w:tc>
        <w:tc>
          <w:tcPr>
            <w:tcW w:w="40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43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2136" w:hRule="atLeast"/>
        </w:trPr>
        <w:tc>
          <w:tcPr>
            <w:tcW w:w="99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10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其他</w:t>
            </w:r>
          </w:p>
        </w:tc>
        <w:tc>
          <w:tcPr>
            <w:tcW w:w="66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2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65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86" w:type="dxa"/>
            <w:vMerge w:val="continue"/>
            <w:tcBorders>
              <w:top w:val="single" w:color="auto" w:sz="4" w:space="0"/>
              <w:left w:val="nil"/>
              <w:bottom w:val="single" w:color="auto" w:sz="4" w:space="0"/>
              <w:right w:val="nil"/>
            </w:tcBorders>
            <w:vAlign w:val="center"/>
          </w:tcPr>
          <w:p>
            <w:pPr>
              <w:widowControl/>
              <w:jc w:val="left"/>
              <w:rPr>
                <w:rFonts w:ascii="宋体" w:hAnsi="宋体" w:cs="宋体"/>
                <w:color w:val="000000"/>
                <w:kern w:val="0"/>
                <w:sz w:val="20"/>
                <w:szCs w:val="20"/>
              </w:rPr>
            </w:pPr>
          </w:p>
        </w:tc>
        <w:tc>
          <w:tcPr>
            <w:tcW w:w="40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43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569" w:hRule="atLeast"/>
        </w:trPr>
        <w:tc>
          <w:tcPr>
            <w:tcW w:w="14174" w:type="dxa"/>
            <w:gridSpan w:val="9"/>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20"/>
                <w:szCs w:val="20"/>
              </w:rPr>
              <w:t>整体绩效目标实现情况（60分）</w:t>
            </w:r>
          </w:p>
        </w:tc>
      </w:tr>
      <w:tr>
        <w:tblPrEx>
          <w:tblCellMar>
            <w:top w:w="0" w:type="dxa"/>
            <w:left w:w="108" w:type="dxa"/>
            <w:bottom w:w="0" w:type="dxa"/>
            <w:right w:w="108" w:type="dxa"/>
          </w:tblCellMar>
        </w:tblPrEx>
        <w:trPr>
          <w:trHeight w:val="499" w:hRule="atLeast"/>
        </w:trPr>
        <w:tc>
          <w:tcPr>
            <w:tcW w:w="99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103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66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72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w:t>
            </w:r>
          </w:p>
        </w:tc>
        <w:tc>
          <w:tcPr>
            <w:tcW w:w="91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完成值</w:t>
            </w:r>
          </w:p>
        </w:tc>
        <w:tc>
          <w:tcPr>
            <w:tcW w:w="65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786"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40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430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CellMar>
            <w:top w:w="0" w:type="dxa"/>
            <w:left w:w="108" w:type="dxa"/>
            <w:bottom w:w="0" w:type="dxa"/>
            <w:right w:w="108" w:type="dxa"/>
          </w:tblCellMar>
        </w:tblPrEx>
        <w:trPr>
          <w:trHeight w:val="1196" w:hRule="atLeast"/>
        </w:trPr>
        <w:tc>
          <w:tcPr>
            <w:tcW w:w="99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整体绩效目标实现情况（60）</w:t>
            </w:r>
          </w:p>
        </w:tc>
        <w:tc>
          <w:tcPr>
            <w:tcW w:w="1035" w:type="dxa"/>
            <w:vMerge w:val="restart"/>
            <w:tcBorders>
              <w:top w:val="single" w:color="auto" w:sz="4" w:space="0"/>
              <w:left w:val="nil"/>
              <w:right w:val="single" w:color="auto" w:sz="4" w:space="0"/>
            </w:tcBorders>
            <w:vAlign w:val="center"/>
          </w:tcPr>
          <w:p>
            <w:pPr>
              <w:widowControl/>
              <w:jc w:val="center"/>
              <w:rPr>
                <w:rFonts w:ascii="宋体" w:hAnsi="宋体" w:cs="宋体"/>
                <w:color w:val="000000"/>
                <w:kern w:val="0"/>
                <w:sz w:val="20"/>
                <w:szCs w:val="20"/>
              </w:rPr>
            </w:pPr>
          </w:p>
          <w:p>
            <w:pPr>
              <w:jc w:val="center"/>
              <w:rPr>
                <w:rFonts w:ascii="宋体" w:hAnsi="宋体" w:cs="宋体"/>
                <w:color w:val="000000"/>
                <w:kern w:val="0"/>
                <w:sz w:val="20"/>
                <w:szCs w:val="20"/>
              </w:rPr>
            </w:pPr>
            <w:r>
              <w:rPr>
                <w:rFonts w:hint="eastAsia" w:ascii="宋体" w:hAnsi="宋体" w:cs="宋体"/>
                <w:color w:val="000000"/>
                <w:kern w:val="0"/>
                <w:sz w:val="20"/>
                <w:szCs w:val="20"/>
              </w:rPr>
              <w:t>产出（30）</w:t>
            </w:r>
          </w:p>
        </w:tc>
        <w:tc>
          <w:tcPr>
            <w:tcW w:w="66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p>
            <w:pPr>
              <w:jc w:val="center"/>
              <w:rPr>
                <w:rFonts w:ascii="宋体" w:hAnsi="宋体" w:cs="宋体"/>
                <w:color w:val="000000"/>
                <w:kern w:val="0"/>
                <w:sz w:val="20"/>
                <w:szCs w:val="20"/>
              </w:rPr>
            </w:pPr>
            <w:r>
              <w:rPr>
                <w:rFonts w:hint="eastAsia" w:ascii="宋体" w:hAnsi="宋体" w:cs="宋体"/>
                <w:color w:val="000000"/>
                <w:kern w:val="0"/>
                <w:sz w:val="20"/>
                <w:szCs w:val="20"/>
              </w:rPr>
              <w:t>产出数量</w:t>
            </w:r>
          </w:p>
        </w:tc>
        <w:tc>
          <w:tcPr>
            <w:tcW w:w="72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p>
            <w:pPr>
              <w:jc w:val="center"/>
              <w:rPr>
                <w:rFonts w:ascii="宋体" w:hAnsi="宋体" w:cs="宋体"/>
                <w:color w:val="000000"/>
                <w:kern w:val="0"/>
                <w:sz w:val="20"/>
                <w:szCs w:val="20"/>
              </w:rPr>
            </w:pPr>
            <w:r>
              <w:rPr>
                <w:rFonts w:hint="eastAsia" w:ascii="宋体" w:hAnsi="宋体" w:cs="宋体"/>
                <w:color w:val="000000"/>
                <w:kern w:val="0"/>
                <w:sz w:val="20"/>
                <w:szCs w:val="20"/>
              </w:rPr>
              <w:t>实际完成率</w:t>
            </w:r>
          </w:p>
        </w:tc>
        <w:tc>
          <w:tcPr>
            <w:tcW w:w="91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p>
            <w:pPr>
              <w:jc w:val="center"/>
              <w:rPr>
                <w:rFonts w:ascii="宋体" w:hAnsi="宋体" w:cs="宋体"/>
                <w:color w:val="000000"/>
                <w:kern w:val="0"/>
                <w:sz w:val="20"/>
                <w:szCs w:val="20"/>
              </w:rPr>
            </w:pPr>
            <w:r>
              <w:rPr>
                <w:rFonts w:hint="eastAsia" w:ascii="宋体" w:hAnsi="宋体" w:cs="宋体"/>
                <w:color w:val="000000"/>
                <w:kern w:val="0"/>
                <w:sz w:val="20"/>
                <w:szCs w:val="20"/>
              </w:rPr>
              <w:t>达标　</w:t>
            </w:r>
          </w:p>
        </w:tc>
        <w:tc>
          <w:tcPr>
            <w:tcW w:w="658" w:type="dxa"/>
            <w:vMerge w:val="restar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p>
            <w:pPr>
              <w:jc w:val="center"/>
              <w:rPr>
                <w:rFonts w:ascii="宋体" w:hAnsi="宋体" w:cs="宋体"/>
                <w:color w:val="000000"/>
                <w:kern w:val="0"/>
                <w:sz w:val="20"/>
                <w:szCs w:val="20"/>
              </w:rPr>
            </w:pPr>
            <w:r>
              <w:rPr>
                <w:rFonts w:hint="eastAsia" w:ascii="宋体" w:hAnsi="宋体" w:cs="宋体"/>
                <w:color w:val="000000"/>
                <w:kern w:val="0"/>
                <w:sz w:val="20"/>
                <w:szCs w:val="20"/>
              </w:rPr>
              <w:t>30</w:t>
            </w:r>
          </w:p>
        </w:tc>
        <w:tc>
          <w:tcPr>
            <w:tcW w:w="786"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p>
          <w:p>
            <w:pPr>
              <w:jc w:val="center"/>
              <w:rPr>
                <w:rFonts w:ascii="宋体" w:hAnsi="宋体" w:cs="宋体"/>
                <w:color w:val="000000"/>
                <w:kern w:val="0"/>
                <w:sz w:val="20"/>
                <w:szCs w:val="20"/>
              </w:rPr>
            </w:pPr>
            <w:r>
              <w:rPr>
                <w:rFonts w:hint="eastAsia" w:ascii="宋体" w:hAnsi="宋体" w:cs="宋体"/>
                <w:color w:val="000000"/>
                <w:kern w:val="0"/>
                <w:sz w:val="20"/>
                <w:szCs w:val="20"/>
              </w:rPr>
              <w:t>10　</w:t>
            </w:r>
          </w:p>
        </w:tc>
        <w:tc>
          <w:tcPr>
            <w:tcW w:w="4087"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产出数量</w:t>
            </w:r>
            <w:r>
              <w:rPr>
                <w:rFonts w:hint="eastAsia" w:ascii="宋体" w:hAnsi="宋体" w:cs="宋体"/>
                <w:color w:val="000000"/>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hint="eastAsia" w:ascii="宋体" w:hAnsi="宋体" w:cs="宋体"/>
                <w:b/>
                <w:bCs/>
                <w:color w:val="000000"/>
                <w:kern w:val="0"/>
                <w:sz w:val="18"/>
                <w:szCs w:val="18"/>
              </w:rPr>
              <w:t>产出质量</w:t>
            </w:r>
            <w:r>
              <w:rPr>
                <w:rFonts w:hint="eastAsia" w:ascii="宋体" w:hAnsi="宋体" w:cs="宋体"/>
                <w:color w:val="000000"/>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hint="eastAsia" w:ascii="宋体" w:hAnsi="宋体" w:cs="宋体"/>
                <w:b/>
                <w:bCs/>
                <w:color w:val="000000"/>
                <w:kern w:val="0"/>
                <w:sz w:val="18"/>
                <w:szCs w:val="18"/>
              </w:rPr>
              <w:t>产出进度：</w:t>
            </w:r>
            <w:r>
              <w:rPr>
                <w:rFonts w:hint="eastAsia" w:ascii="宋体" w:hAnsi="宋体" w:cs="宋体"/>
                <w:color w:val="000000"/>
                <w:kern w:val="0"/>
                <w:sz w:val="18"/>
                <w:szCs w:val="18"/>
              </w:rPr>
              <w:t>按时完成率=（按时完成工作数/实际完成工作数）×100%。按时完成工作数：部门（单位）按照整体绩效目标确定的时限实际完成的工作任务数量。</w:t>
            </w:r>
            <w:r>
              <w:rPr>
                <w:rFonts w:hint="eastAsia" w:ascii="宋体" w:hAnsi="宋体" w:cs="宋体"/>
                <w:b/>
                <w:bCs/>
                <w:color w:val="000000"/>
                <w:kern w:val="0"/>
                <w:sz w:val="18"/>
                <w:szCs w:val="18"/>
              </w:rPr>
              <w:t>产出成本</w:t>
            </w:r>
            <w:r>
              <w:rPr>
                <w:rFonts w:hint="eastAsia" w:ascii="宋体" w:hAnsi="宋体" w:cs="宋体"/>
                <w:color w:val="000000"/>
                <w:kern w:val="0"/>
                <w:sz w:val="18"/>
                <w:szCs w:val="18"/>
              </w:rPr>
              <w:t>：单位产出相对于上一年度的节约额；②单位产出相对于市场同类产出的节约额；③部门公用经费的控制情况。</w:t>
            </w:r>
          </w:p>
        </w:tc>
        <w:tc>
          <w:tcPr>
            <w:tcW w:w="4309"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部门根据本单位情况自行确定并选择产出指标，合理确定各项指标权重。可量化的指标按照比率*单项指标分值即为该指标得分。如果不能定量评价，则以定性的方式进行自评。</w:t>
            </w:r>
          </w:p>
        </w:tc>
      </w:tr>
      <w:tr>
        <w:tblPrEx>
          <w:tblCellMar>
            <w:top w:w="0" w:type="dxa"/>
            <w:left w:w="108" w:type="dxa"/>
            <w:bottom w:w="0" w:type="dxa"/>
            <w:right w:w="108" w:type="dxa"/>
          </w:tblCellMar>
        </w:tblPrEx>
        <w:trPr>
          <w:trHeight w:val="1130" w:hRule="atLeast"/>
        </w:trPr>
        <w:tc>
          <w:tcPr>
            <w:tcW w:w="99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1035" w:type="dxa"/>
            <w:vMerge w:val="continue"/>
            <w:tcBorders>
              <w:left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66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产出质量</w:t>
            </w:r>
          </w:p>
        </w:tc>
        <w:tc>
          <w:tcPr>
            <w:tcW w:w="72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质量达标率　</w:t>
            </w:r>
          </w:p>
        </w:tc>
        <w:tc>
          <w:tcPr>
            <w:tcW w:w="91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达标　</w:t>
            </w:r>
          </w:p>
        </w:tc>
        <w:tc>
          <w:tcPr>
            <w:tcW w:w="658" w:type="dxa"/>
            <w:vMerge w:val="continue"/>
            <w:tcBorders>
              <w:top w:val="single" w:color="auto" w:sz="4" w:space="0"/>
              <w:left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86"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　</w:t>
            </w:r>
          </w:p>
        </w:tc>
        <w:tc>
          <w:tcPr>
            <w:tcW w:w="408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43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1258" w:hRule="atLeast"/>
        </w:trPr>
        <w:tc>
          <w:tcPr>
            <w:tcW w:w="99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1035" w:type="dxa"/>
            <w:vMerge w:val="continue"/>
            <w:tcBorders>
              <w:left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663"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产出进度</w:t>
            </w:r>
          </w:p>
        </w:tc>
        <w:tc>
          <w:tcPr>
            <w:tcW w:w="72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完成及时性　</w:t>
            </w:r>
          </w:p>
        </w:tc>
        <w:tc>
          <w:tcPr>
            <w:tcW w:w="91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及时　</w:t>
            </w:r>
          </w:p>
        </w:tc>
        <w:tc>
          <w:tcPr>
            <w:tcW w:w="658" w:type="dxa"/>
            <w:vMerge w:val="continue"/>
            <w:tcBorders>
              <w:left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86" w:type="dxa"/>
            <w:tcBorders>
              <w:top w:val="nil"/>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5</w:t>
            </w:r>
          </w:p>
        </w:tc>
        <w:tc>
          <w:tcPr>
            <w:tcW w:w="408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43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577" w:hRule="atLeast"/>
        </w:trPr>
        <w:tc>
          <w:tcPr>
            <w:tcW w:w="99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1035"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663"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ascii="宋体" w:hAnsi="宋体" w:cs="宋体"/>
                <w:color w:val="000000"/>
                <w:kern w:val="0"/>
                <w:sz w:val="20"/>
                <w:szCs w:val="20"/>
              </w:rPr>
              <w:t>产出成本</w:t>
            </w:r>
          </w:p>
        </w:tc>
        <w:tc>
          <w:tcPr>
            <w:tcW w:w="72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成本节约率　</w:t>
            </w:r>
          </w:p>
        </w:tc>
        <w:tc>
          <w:tcPr>
            <w:tcW w:w="91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18"/>
                <w:szCs w:val="18"/>
              </w:rPr>
              <w:t>控制得当</w:t>
            </w:r>
            <w:r>
              <w:rPr>
                <w:rFonts w:hint="eastAsia" w:ascii="宋体" w:hAnsi="宋体" w:cs="宋体"/>
                <w:color w:val="000000"/>
                <w:kern w:val="0"/>
                <w:sz w:val="20"/>
                <w:szCs w:val="20"/>
              </w:rPr>
              <w:t>　</w:t>
            </w:r>
          </w:p>
        </w:tc>
        <w:tc>
          <w:tcPr>
            <w:tcW w:w="658"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86" w:type="dxa"/>
            <w:tcBorders>
              <w:top w:val="nil"/>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5</w:t>
            </w:r>
          </w:p>
        </w:tc>
        <w:tc>
          <w:tcPr>
            <w:tcW w:w="408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43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1508" w:hRule="atLeast"/>
        </w:trPr>
        <w:tc>
          <w:tcPr>
            <w:tcW w:w="99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1035"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效果（30）</w:t>
            </w:r>
          </w:p>
        </w:tc>
        <w:tc>
          <w:tcPr>
            <w:tcW w:w="663"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w:t>
            </w:r>
          </w:p>
        </w:tc>
        <w:tc>
          <w:tcPr>
            <w:tcW w:w="72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提升社会效益　</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1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提升　</w:t>
            </w:r>
          </w:p>
        </w:tc>
        <w:tc>
          <w:tcPr>
            <w:tcW w:w="658" w:type="dxa"/>
            <w:vMerge w:val="restart"/>
            <w:tcBorders>
              <w:top w:val="nil"/>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w:t>
            </w:r>
          </w:p>
        </w:tc>
        <w:tc>
          <w:tcPr>
            <w:tcW w:w="786" w:type="dxa"/>
            <w:tcBorders>
              <w:top w:val="nil"/>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p>
            <w:pPr>
              <w:widowControl/>
              <w:jc w:val="center"/>
              <w:rPr>
                <w:rFonts w:ascii="宋体" w:hAnsi="宋体" w:cs="宋体"/>
                <w:color w:val="000000"/>
                <w:kern w:val="0"/>
                <w:sz w:val="20"/>
                <w:szCs w:val="20"/>
              </w:rPr>
            </w:pPr>
            <w:r>
              <w:rPr>
                <w:rFonts w:ascii="宋体" w:hAnsi="宋体" w:cs="宋体"/>
                <w:color w:val="000000"/>
                <w:kern w:val="0"/>
                <w:sz w:val="20"/>
                <w:szCs w:val="20"/>
              </w:rPr>
              <w:t>19</w:t>
            </w:r>
            <w:r>
              <w:rPr>
                <w:rFonts w:hint="eastAsia" w:ascii="宋体" w:hAnsi="宋体" w:cs="宋体"/>
                <w:color w:val="000000"/>
                <w:kern w:val="0"/>
                <w:sz w:val="20"/>
                <w:szCs w:val="20"/>
              </w:rPr>
              <w:t>　</w:t>
            </w:r>
          </w:p>
        </w:tc>
        <w:tc>
          <w:tcPr>
            <w:tcW w:w="4087" w:type="dxa"/>
            <w:vMerge w:val="restart"/>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经济效益</w:t>
            </w:r>
            <w:r>
              <w:rPr>
                <w:rFonts w:hint="eastAsia" w:ascii="宋体" w:hAnsi="宋体" w:cs="宋体"/>
                <w:color w:val="000000"/>
                <w:kern w:val="0"/>
                <w:sz w:val="18"/>
                <w:szCs w:val="18"/>
              </w:rPr>
              <w:t>：部门（单位）履行职责对经济发展所带来的直接或间接影响。</w:t>
            </w:r>
            <w:r>
              <w:rPr>
                <w:rFonts w:hint="eastAsia" w:ascii="宋体" w:hAnsi="宋体" w:cs="宋体"/>
                <w:b/>
                <w:bCs/>
                <w:color w:val="000000"/>
                <w:kern w:val="0"/>
                <w:sz w:val="18"/>
                <w:szCs w:val="18"/>
              </w:rPr>
              <w:t>社会效益</w:t>
            </w:r>
            <w:r>
              <w:rPr>
                <w:rFonts w:hint="eastAsia" w:ascii="宋体" w:hAnsi="宋体" w:cs="宋体"/>
                <w:color w:val="000000"/>
                <w:kern w:val="0"/>
                <w:sz w:val="18"/>
                <w:szCs w:val="18"/>
              </w:rPr>
              <w:t>：部门（单位）履行职责对社会发展所带来的直接或间接影响。</w:t>
            </w:r>
            <w:r>
              <w:rPr>
                <w:rFonts w:hint="eastAsia" w:ascii="宋体" w:hAnsi="宋体" w:cs="宋体"/>
                <w:b/>
                <w:bCs/>
                <w:color w:val="000000"/>
                <w:kern w:val="0"/>
                <w:sz w:val="18"/>
                <w:szCs w:val="18"/>
              </w:rPr>
              <w:t>环境效益</w:t>
            </w:r>
            <w:r>
              <w:rPr>
                <w:rFonts w:hint="eastAsia" w:ascii="宋体" w:hAnsi="宋体" w:cs="宋体"/>
                <w:color w:val="000000"/>
                <w:kern w:val="0"/>
                <w:sz w:val="18"/>
                <w:szCs w:val="18"/>
              </w:rPr>
              <w:t>：部门（单位）履行职责对环境所带来的直接或间接影响。</w:t>
            </w:r>
            <w:r>
              <w:rPr>
                <w:rFonts w:hint="eastAsia" w:ascii="宋体" w:hAnsi="宋体" w:cs="宋体"/>
                <w:b/>
                <w:bCs/>
                <w:color w:val="000000"/>
                <w:kern w:val="0"/>
                <w:sz w:val="18"/>
                <w:szCs w:val="18"/>
              </w:rPr>
              <w:t>可持续性影响：</w:t>
            </w:r>
            <w:r>
              <w:rPr>
                <w:rFonts w:hint="eastAsia" w:ascii="宋体" w:hAnsi="宋体" w:cs="宋体"/>
                <w:color w:val="000000"/>
                <w:kern w:val="0"/>
                <w:sz w:val="18"/>
                <w:szCs w:val="18"/>
              </w:rPr>
              <w:t>部门绩效目标实现的长效机制建设情况，部门工作效率提升措施的创新。</w:t>
            </w:r>
            <w:r>
              <w:rPr>
                <w:rFonts w:hint="eastAsia" w:ascii="宋体" w:hAnsi="宋体" w:cs="宋体"/>
                <w:b/>
                <w:bCs/>
                <w:color w:val="000000"/>
                <w:kern w:val="0"/>
                <w:sz w:val="18"/>
                <w:szCs w:val="18"/>
              </w:rPr>
              <w:t>服务对象满意度</w:t>
            </w:r>
            <w:r>
              <w:rPr>
                <w:rFonts w:hint="eastAsia" w:ascii="宋体" w:hAnsi="宋体" w:cs="宋体"/>
                <w:color w:val="000000"/>
                <w:kern w:val="0"/>
                <w:sz w:val="18"/>
                <w:szCs w:val="18"/>
              </w:rPr>
              <w:t>：部门（单位）的服务对象对部门履职效果的满意程度。</w:t>
            </w:r>
          </w:p>
        </w:tc>
        <w:tc>
          <w:tcPr>
            <w:tcW w:w="4309" w:type="dxa"/>
            <w:vMerge w:val="restart"/>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部门根据实际情况选择指标进行填写，并将其细化为相应的个性化指标。对于效益类指标可从受益对象瞄准度、受益广度和受益深度上进行设计分析。</w:t>
            </w:r>
          </w:p>
        </w:tc>
      </w:tr>
      <w:tr>
        <w:tblPrEx>
          <w:tblCellMar>
            <w:top w:w="0" w:type="dxa"/>
            <w:left w:w="108" w:type="dxa"/>
            <w:bottom w:w="0" w:type="dxa"/>
            <w:right w:w="108" w:type="dxa"/>
          </w:tblCellMar>
        </w:tblPrEx>
        <w:trPr>
          <w:trHeight w:val="1044" w:hRule="atLeast"/>
        </w:trPr>
        <w:tc>
          <w:tcPr>
            <w:tcW w:w="99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103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663" w:type="dxa"/>
            <w:tcBorders>
              <w:top w:val="single" w:color="auto" w:sz="4" w:space="0"/>
              <w:left w:val="nil"/>
              <w:right w:val="single" w:color="auto" w:sz="4" w:space="0"/>
            </w:tcBorders>
            <w:vAlign w:val="center"/>
          </w:tcPr>
          <w:p>
            <w:pPr>
              <w:widowControl/>
              <w:rPr>
                <w:rFonts w:ascii="宋体" w:hAnsi="宋体" w:cs="宋体"/>
                <w:color w:val="000000"/>
                <w:kern w:val="0"/>
                <w:sz w:val="20"/>
                <w:szCs w:val="20"/>
              </w:rPr>
            </w:pPr>
            <w:r>
              <w:rPr>
                <w:rFonts w:hint="eastAsia" w:ascii="宋体" w:hAnsi="宋体" w:cs="宋体"/>
                <w:color w:val="000000"/>
                <w:kern w:val="0"/>
                <w:sz w:val="20"/>
                <w:szCs w:val="20"/>
              </w:rPr>
              <w:t>服务对象满意度</w:t>
            </w:r>
          </w:p>
        </w:tc>
        <w:tc>
          <w:tcPr>
            <w:tcW w:w="724" w:type="dxa"/>
            <w:tcBorders>
              <w:top w:val="single" w:color="auto" w:sz="4" w:space="0"/>
              <w:left w:val="nil"/>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18"/>
                <w:szCs w:val="18"/>
              </w:rPr>
              <w:t>满意程度</w:t>
            </w:r>
          </w:p>
        </w:tc>
        <w:tc>
          <w:tcPr>
            <w:tcW w:w="915" w:type="dxa"/>
            <w:tcBorders>
              <w:top w:val="single" w:color="auto" w:sz="4" w:space="0"/>
              <w:left w:val="nil"/>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基本满意</w:t>
            </w:r>
          </w:p>
        </w:tc>
        <w:tc>
          <w:tcPr>
            <w:tcW w:w="65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86" w:type="dxa"/>
            <w:tcBorders>
              <w:top w:val="nil"/>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9</w:t>
            </w:r>
            <w:r>
              <w:rPr>
                <w:rFonts w:hint="eastAsia" w:ascii="宋体" w:hAnsi="宋体" w:cs="宋体"/>
                <w:color w:val="000000"/>
                <w:kern w:val="0"/>
                <w:sz w:val="20"/>
                <w:szCs w:val="20"/>
              </w:rPr>
              <w:t>　</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408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43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699" w:hRule="atLeast"/>
        </w:trPr>
        <w:tc>
          <w:tcPr>
            <w:tcW w:w="14174" w:type="dxa"/>
            <w:gridSpan w:val="9"/>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20"/>
                <w:szCs w:val="20"/>
              </w:rPr>
              <w:t>预算管理情况（20分）</w:t>
            </w:r>
          </w:p>
        </w:tc>
      </w:tr>
      <w:tr>
        <w:tblPrEx>
          <w:tblCellMar>
            <w:top w:w="0" w:type="dxa"/>
            <w:left w:w="108" w:type="dxa"/>
            <w:bottom w:w="0" w:type="dxa"/>
            <w:right w:w="108" w:type="dxa"/>
          </w:tblCellMar>
        </w:tblPrEx>
        <w:trPr>
          <w:trHeight w:val="702" w:hRule="atLeast"/>
        </w:trPr>
        <w:tc>
          <w:tcPr>
            <w:tcW w:w="99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p>
        </w:tc>
        <w:tc>
          <w:tcPr>
            <w:tcW w:w="66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p>
        </w:tc>
        <w:tc>
          <w:tcPr>
            <w:tcW w:w="72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w:t>
            </w:r>
            <w:r>
              <w:rPr>
                <w:rFonts w:ascii="宋体" w:hAnsi="宋体" w:cs="宋体"/>
                <w:color w:val="000000"/>
                <w:kern w:val="0"/>
                <w:sz w:val="20"/>
                <w:szCs w:val="20"/>
              </w:rPr>
              <w:t>值</w:t>
            </w:r>
          </w:p>
        </w:tc>
        <w:tc>
          <w:tcPr>
            <w:tcW w:w="91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w:t>
            </w:r>
            <w:r>
              <w:rPr>
                <w:rFonts w:ascii="宋体" w:hAnsi="宋体" w:cs="宋体"/>
                <w:color w:val="000000"/>
                <w:kern w:val="0"/>
                <w:sz w:val="20"/>
                <w:szCs w:val="20"/>
              </w:rPr>
              <w:t>值</w:t>
            </w:r>
          </w:p>
        </w:tc>
        <w:tc>
          <w:tcPr>
            <w:tcW w:w="658"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w:t>
            </w:r>
            <w:r>
              <w:rPr>
                <w:rFonts w:ascii="宋体" w:hAnsi="宋体" w:cs="宋体"/>
                <w:color w:val="000000"/>
                <w:kern w:val="0"/>
                <w:sz w:val="20"/>
                <w:szCs w:val="20"/>
              </w:rPr>
              <w:t>值</w:t>
            </w:r>
          </w:p>
        </w:tc>
        <w:tc>
          <w:tcPr>
            <w:tcW w:w="786"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w:t>
            </w:r>
            <w:r>
              <w:rPr>
                <w:rFonts w:ascii="宋体" w:hAnsi="宋体" w:cs="宋体"/>
                <w:color w:val="000000"/>
                <w:kern w:val="0"/>
                <w:sz w:val="20"/>
                <w:szCs w:val="20"/>
              </w:rPr>
              <w:t>分</w:t>
            </w:r>
          </w:p>
        </w:tc>
        <w:tc>
          <w:tcPr>
            <w:tcW w:w="40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4309"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CellMar>
            <w:top w:w="0" w:type="dxa"/>
            <w:left w:w="108" w:type="dxa"/>
            <w:bottom w:w="0" w:type="dxa"/>
            <w:right w:w="108" w:type="dxa"/>
          </w:tblCellMar>
        </w:tblPrEx>
        <w:trPr>
          <w:trHeight w:val="1230" w:hRule="atLeast"/>
        </w:trPr>
        <w:tc>
          <w:tcPr>
            <w:tcW w:w="99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预算管理情况（20）</w:t>
            </w:r>
          </w:p>
        </w:tc>
        <w:tc>
          <w:tcPr>
            <w:tcW w:w="103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财务管理（4）</w:t>
            </w:r>
          </w:p>
        </w:tc>
        <w:tc>
          <w:tcPr>
            <w:tcW w:w="66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财务管理制度健全性</w:t>
            </w:r>
          </w:p>
        </w:tc>
        <w:tc>
          <w:tcPr>
            <w:tcW w:w="72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健全性</w:t>
            </w:r>
          </w:p>
        </w:tc>
        <w:tc>
          <w:tcPr>
            <w:tcW w:w="91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健全　</w:t>
            </w:r>
          </w:p>
        </w:tc>
        <w:tc>
          <w:tcPr>
            <w:tcW w:w="658"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786"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　</w:t>
            </w:r>
          </w:p>
        </w:tc>
        <w:tc>
          <w:tcPr>
            <w:tcW w:w="4087"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财务管理制度健全性:</w:t>
            </w:r>
            <w:r>
              <w:rPr>
                <w:rFonts w:hint="eastAsia" w:ascii="宋体" w:hAnsi="宋体" w:cs="宋体"/>
                <w:color w:val="000000"/>
                <w:kern w:val="0"/>
                <w:sz w:val="18"/>
                <w:szCs w:val="18"/>
              </w:rPr>
              <w:t>部门（单位）为加强财务管理、规范财务行为而制定的管理制度。</w:t>
            </w:r>
          </w:p>
        </w:tc>
        <w:tc>
          <w:tcPr>
            <w:tcW w:w="4309"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①预算资金管理办法、绩效跟踪管理办法、资产管理办法等各项制度是否健全；②部门内部财务管理制度是否完整、合规；③会计核算制度是否完整、合规。每有一项不合格扣0.5分，扣完为止。</w:t>
            </w:r>
          </w:p>
        </w:tc>
      </w:tr>
      <w:tr>
        <w:tblPrEx>
          <w:tblCellMar>
            <w:top w:w="0" w:type="dxa"/>
            <w:left w:w="108" w:type="dxa"/>
            <w:bottom w:w="0" w:type="dxa"/>
            <w:right w:w="108" w:type="dxa"/>
          </w:tblCellMar>
        </w:tblPrEx>
        <w:trPr>
          <w:trHeight w:val="2220" w:hRule="atLeast"/>
        </w:trPr>
        <w:tc>
          <w:tcPr>
            <w:tcW w:w="997"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10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66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资金使用合规性和安全性</w:t>
            </w:r>
          </w:p>
        </w:tc>
        <w:tc>
          <w:tcPr>
            <w:tcW w:w="72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符合相关的财务管理制度规定</w:t>
            </w:r>
          </w:p>
        </w:tc>
        <w:tc>
          <w:tcPr>
            <w:tcW w:w="91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符合　</w:t>
            </w:r>
          </w:p>
        </w:tc>
        <w:tc>
          <w:tcPr>
            <w:tcW w:w="658"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786" w:type="dxa"/>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　</w:t>
            </w:r>
          </w:p>
        </w:tc>
        <w:tc>
          <w:tcPr>
            <w:tcW w:w="4087"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资金使用合规性和安全性:</w:t>
            </w:r>
            <w:r>
              <w:rPr>
                <w:rFonts w:hint="eastAsia" w:ascii="宋体" w:hAnsi="宋体" w:cs="宋体"/>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4309"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tblPrEx>
          <w:tblCellMar>
            <w:top w:w="0" w:type="dxa"/>
            <w:left w:w="108" w:type="dxa"/>
            <w:bottom w:w="0" w:type="dxa"/>
            <w:right w:w="108" w:type="dxa"/>
          </w:tblCellMar>
        </w:tblPrEx>
        <w:trPr>
          <w:trHeight w:val="1035" w:hRule="atLeast"/>
        </w:trPr>
        <w:tc>
          <w:tcPr>
            <w:tcW w:w="99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103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663"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会计基础信息完善性</w:t>
            </w:r>
          </w:p>
        </w:tc>
        <w:tc>
          <w:tcPr>
            <w:tcW w:w="72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会计核算规范、基础信息真实　</w:t>
            </w:r>
          </w:p>
        </w:tc>
        <w:tc>
          <w:tcPr>
            <w:tcW w:w="91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规范、真实　</w:t>
            </w:r>
          </w:p>
        </w:tc>
        <w:tc>
          <w:tcPr>
            <w:tcW w:w="658"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786" w:type="dxa"/>
            <w:tcBorders>
              <w:top w:val="nil"/>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1</w:t>
            </w:r>
          </w:p>
        </w:tc>
        <w:tc>
          <w:tcPr>
            <w:tcW w:w="40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会计基础信息完善性:</w:t>
            </w:r>
            <w:r>
              <w:rPr>
                <w:rFonts w:hint="eastAsia" w:ascii="宋体" w:hAnsi="宋体" w:cs="宋体"/>
                <w:color w:val="000000"/>
                <w:kern w:val="0"/>
                <w:sz w:val="18"/>
                <w:szCs w:val="18"/>
              </w:rPr>
              <w:t>部门（单位）会计基础信息情况。</w:t>
            </w:r>
          </w:p>
        </w:tc>
        <w:tc>
          <w:tcPr>
            <w:tcW w:w="430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①基础数据信息和会计信息资料是否真实；②基础数据信息和会计信息资料是否完整；③基础数据信息和会计信息资料是否准确。每有一项不合格扣0.5分，扣完为止。</w:t>
            </w:r>
          </w:p>
        </w:tc>
      </w:tr>
      <w:tr>
        <w:tblPrEx>
          <w:tblCellMar>
            <w:top w:w="0" w:type="dxa"/>
            <w:left w:w="108" w:type="dxa"/>
            <w:bottom w:w="0" w:type="dxa"/>
            <w:right w:w="108" w:type="dxa"/>
          </w:tblCellMar>
        </w:tblPrEx>
        <w:trPr>
          <w:trHeight w:val="2220" w:hRule="atLeast"/>
        </w:trPr>
        <w:tc>
          <w:tcPr>
            <w:tcW w:w="99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10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资产管理（4）</w:t>
            </w:r>
          </w:p>
        </w:tc>
        <w:tc>
          <w:tcPr>
            <w:tcW w:w="66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资产管理规范性</w:t>
            </w:r>
          </w:p>
        </w:tc>
        <w:tc>
          <w:tcPr>
            <w:tcW w:w="724"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严格按照市财政局资产管理相关规定执行</w:t>
            </w:r>
          </w:p>
        </w:tc>
        <w:tc>
          <w:tcPr>
            <w:tcW w:w="915"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规范</w:t>
            </w:r>
          </w:p>
        </w:tc>
        <w:tc>
          <w:tcPr>
            <w:tcW w:w="65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7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4</w:t>
            </w:r>
          </w:p>
        </w:tc>
        <w:tc>
          <w:tcPr>
            <w:tcW w:w="4087"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资产管理规范性:</w:t>
            </w:r>
            <w:r>
              <w:rPr>
                <w:rFonts w:hint="eastAsia" w:ascii="宋体" w:hAnsi="宋体" w:cs="宋体"/>
                <w:color w:val="000000"/>
                <w:kern w:val="0"/>
                <w:sz w:val="18"/>
                <w:szCs w:val="18"/>
              </w:rPr>
              <w:t>部门（单位）的资产是否保持安全完整，资产配置是否合理，资产使用和资产处理是否规范，用以反映和考核部门（单位）资产管理的整体水平。</w:t>
            </w:r>
          </w:p>
        </w:tc>
        <w:tc>
          <w:tcPr>
            <w:tcW w:w="430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tblPrEx>
          <w:tblCellMar>
            <w:top w:w="0" w:type="dxa"/>
            <w:left w:w="108" w:type="dxa"/>
            <w:bottom w:w="0" w:type="dxa"/>
            <w:right w:w="108" w:type="dxa"/>
          </w:tblCellMar>
        </w:tblPrEx>
        <w:trPr>
          <w:trHeight w:val="1750" w:hRule="atLeast"/>
        </w:trPr>
        <w:tc>
          <w:tcPr>
            <w:tcW w:w="99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103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绩效管理（4）</w:t>
            </w:r>
          </w:p>
        </w:tc>
        <w:tc>
          <w:tcPr>
            <w:tcW w:w="66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绩效管理情况</w:t>
            </w:r>
          </w:p>
        </w:tc>
        <w:tc>
          <w:tcPr>
            <w:tcW w:w="724"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运用情况</w:t>
            </w:r>
          </w:p>
        </w:tc>
        <w:tc>
          <w:tcPr>
            <w:tcW w:w="915"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合理</w:t>
            </w:r>
          </w:p>
        </w:tc>
        <w:tc>
          <w:tcPr>
            <w:tcW w:w="65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786"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　</w:t>
            </w:r>
          </w:p>
        </w:tc>
        <w:tc>
          <w:tcPr>
            <w:tcW w:w="4087"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绩效管理情况:</w:t>
            </w:r>
            <w:r>
              <w:rPr>
                <w:rFonts w:hint="eastAsia" w:ascii="宋体" w:hAnsi="宋体" w:cs="宋体"/>
                <w:color w:val="000000"/>
                <w:kern w:val="0"/>
                <w:sz w:val="18"/>
                <w:szCs w:val="18"/>
              </w:rPr>
              <w:t>考核部门（单位）在绩效管理信息的汇总和应用情况。</w:t>
            </w:r>
          </w:p>
        </w:tc>
        <w:tc>
          <w:tcPr>
            <w:tcW w:w="4309"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①部门（单位）是否及时对绩效信息进行汇总分析整理；②部门（单位）是否对绩效目标偏离情况及时进行矫正。每有一项不合格扣2分。</w:t>
            </w:r>
          </w:p>
        </w:tc>
      </w:tr>
      <w:tr>
        <w:tblPrEx>
          <w:tblCellMar>
            <w:top w:w="0" w:type="dxa"/>
            <w:left w:w="108" w:type="dxa"/>
            <w:bottom w:w="0" w:type="dxa"/>
            <w:right w:w="108" w:type="dxa"/>
          </w:tblCellMar>
        </w:tblPrEx>
        <w:trPr>
          <w:trHeight w:val="394" w:hRule="atLeast"/>
        </w:trPr>
        <w:tc>
          <w:tcPr>
            <w:tcW w:w="99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103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　</w:t>
            </w:r>
          </w:p>
        </w:tc>
        <w:tc>
          <w:tcPr>
            <w:tcW w:w="1387" w:type="dxa"/>
            <w:gridSpan w:val="2"/>
            <w:tcBorders>
              <w:top w:val="single" w:color="auto" w:sz="4" w:space="0"/>
              <w:left w:val="nil"/>
              <w:bottom w:val="single" w:color="auto" w:sz="4" w:space="0"/>
              <w:right w:val="single" w:color="000000"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w:t>
            </w:r>
            <w:r>
              <w:rPr>
                <w:rFonts w:ascii="宋体" w:hAnsi="宋体" w:cs="宋体"/>
                <w:color w:val="000000"/>
                <w:kern w:val="0"/>
                <w:sz w:val="20"/>
                <w:szCs w:val="20"/>
              </w:rPr>
              <w:t>2</w:t>
            </w:r>
            <w:r>
              <w:rPr>
                <w:rFonts w:hint="eastAsia" w:ascii="宋体" w:hAnsi="宋体" w:cs="宋体"/>
                <w:color w:val="000000"/>
                <w:kern w:val="0"/>
                <w:sz w:val="20"/>
                <w:szCs w:val="20"/>
              </w:rPr>
              <w:t>年</w:t>
            </w:r>
          </w:p>
        </w:tc>
        <w:tc>
          <w:tcPr>
            <w:tcW w:w="91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w:t>
            </w:r>
            <w:r>
              <w:rPr>
                <w:rFonts w:ascii="宋体" w:hAnsi="宋体" w:cs="宋体"/>
                <w:color w:val="000000"/>
                <w:kern w:val="0"/>
                <w:sz w:val="20"/>
                <w:szCs w:val="20"/>
              </w:rPr>
              <w:t>3</w:t>
            </w:r>
            <w:r>
              <w:rPr>
                <w:rFonts w:hint="eastAsia" w:ascii="宋体" w:hAnsi="宋体" w:cs="宋体"/>
                <w:color w:val="000000"/>
                <w:kern w:val="0"/>
                <w:sz w:val="20"/>
                <w:szCs w:val="20"/>
              </w:rPr>
              <w:t>年</w:t>
            </w:r>
          </w:p>
        </w:tc>
        <w:tc>
          <w:tcPr>
            <w:tcW w:w="65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78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40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4309" w:type="dxa"/>
            <w:tcBorders>
              <w:top w:val="single" w:color="auto" w:sz="4" w:space="0"/>
              <w:left w:val="nil"/>
              <w:bottom w:val="single" w:color="auto" w:sz="4" w:space="0"/>
              <w:right w:val="single" w:color="auto" w:sz="4" w:space="0"/>
            </w:tcBorders>
            <w:vAlign w:val="center"/>
          </w:tcPr>
          <w:p>
            <w:pPr>
              <w:widowControl/>
              <w:jc w:val="center"/>
              <w:rPr>
                <w:rFonts w:eastAsia="Times New Roman"/>
                <w:kern w:val="0"/>
                <w:sz w:val="20"/>
                <w:szCs w:val="20"/>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CellMar>
            <w:top w:w="0" w:type="dxa"/>
            <w:left w:w="108" w:type="dxa"/>
            <w:bottom w:w="0" w:type="dxa"/>
            <w:right w:w="108" w:type="dxa"/>
          </w:tblCellMar>
        </w:tblPrEx>
        <w:trPr>
          <w:trHeight w:val="1365" w:hRule="atLeast"/>
        </w:trPr>
        <w:tc>
          <w:tcPr>
            <w:tcW w:w="99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1035"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ascii="宋体" w:hAnsi="宋体" w:cs="宋体"/>
                <w:color w:val="000000"/>
                <w:kern w:val="0"/>
                <w:sz w:val="20"/>
                <w:szCs w:val="20"/>
              </w:rPr>
              <w:t>结转结余率（4）</w:t>
            </w:r>
          </w:p>
        </w:tc>
        <w:tc>
          <w:tcPr>
            <w:tcW w:w="1387" w:type="dxa"/>
            <w:gridSpan w:val="2"/>
            <w:tcBorders>
              <w:top w:val="single" w:color="auto" w:sz="4" w:space="0"/>
              <w:left w:val="nil"/>
              <w:bottom w:val="single" w:color="auto" w:sz="4" w:space="0"/>
              <w:right w:val="single" w:color="000000"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r>
              <w:rPr>
                <w:rFonts w:ascii="宋体" w:hAnsi="宋体" w:cs="宋体"/>
                <w:color w:val="000000"/>
                <w:kern w:val="0"/>
                <w:sz w:val="20"/>
                <w:szCs w:val="20"/>
              </w:rPr>
              <w:t>2.92%</w:t>
            </w:r>
          </w:p>
        </w:tc>
        <w:tc>
          <w:tcPr>
            <w:tcW w:w="91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4.87%</w:t>
            </w:r>
            <w:r>
              <w:rPr>
                <w:rFonts w:hint="eastAsia" w:ascii="宋体" w:hAnsi="宋体" w:cs="宋体"/>
                <w:color w:val="000000"/>
                <w:kern w:val="0"/>
                <w:sz w:val="20"/>
                <w:szCs w:val="20"/>
              </w:rPr>
              <w:t>　</w:t>
            </w:r>
          </w:p>
        </w:tc>
        <w:tc>
          <w:tcPr>
            <w:tcW w:w="65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786" w:type="dxa"/>
            <w:tcBorders>
              <w:top w:val="nil"/>
              <w:left w:val="nil"/>
              <w:bottom w:val="single" w:color="auto" w:sz="4" w:space="0"/>
              <w:right w:val="nil"/>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3.6</w:t>
            </w:r>
            <w:r>
              <w:rPr>
                <w:rFonts w:hint="eastAsia" w:ascii="宋体" w:hAnsi="宋体" w:cs="宋体"/>
                <w:color w:val="000000"/>
                <w:kern w:val="0"/>
                <w:sz w:val="20"/>
                <w:szCs w:val="20"/>
              </w:rPr>
              <w:t>　</w:t>
            </w:r>
          </w:p>
        </w:tc>
        <w:tc>
          <w:tcPr>
            <w:tcW w:w="4087"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rPr>
              <w:t>结转结余率=结转结余总额/支出预算数×100%。</w:t>
            </w:r>
          </w:p>
          <w:p>
            <w:pPr>
              <w:widowControl/>
              <w:jc w:val="left"/>
              <w:rPr>
                <w:rFonts w:ascii="宋体" w:hAnsi="宋体" w:cs="宋体"/>
                <w:color w:val="000000"/>
                <w:kern w:val="0"/>
                <w:sz w:val="18"/>
                <w:szCs w:val="18"/>
              </w:rPr>
            </w:pPr>
            <w:r>
              <w:rPr>
                <w:rFonts w:hint="eastAsia" w:ascii="宋体" w:hAnsi="宋体" w:cs="宋体"/>
                <w:color w:val="000000"/>
                <w:kern w:val="0"/>
                <w:sz w:val="18"/>
                <w:szCs w:val="18"/>
              </w:rPr>
              <w:t>结转结余总额：部门（单位）本年度的结转资金与结余资金之和。</w:t>
            </w:r>
          </w:p>
        </w:tc>
        <w:tc>
          <w:tcPr>
            <w:tcW w:w="4309"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tblPrEx>
          <w:tblCellMar>
            <w:top w:w="0" w:type="dxa"/>
            <w:left w:w="108" w:type="dxa"/>
            <w:bottom w:w="0" w:type="dxa"/>
            <w:right w:w="108" w:type="dxa"/>
          </w:tblCellMar>
        </w:tblPrEx>
        <w:trPr>
          <w:trHeight w:val="90" w:hRule="atLeast"/>
        </w:trPr>
        <w:tc>
          <w:tcPr>
            <w:tcW w:w="99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1035"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ascii="宋体" w:hAnsi="宋体" w:cs="宋体"/>
                <w:color w:val="000000"/>
                <w:kern w:val="0"/>
                <w:sz w:val="20"/>
                <w:szCs w:val="20"/>
              </w:rPr>
              <w:t>部门预决算差异率（4）</w:t>
            </w:r>
          </w:p>
        </w:tc>
        <w:tc>
          <w:tcPr>
            <w:tcW w:w="1387" w:type="dxa"/>
            <w:gridSpan w:val="2"/>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1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r>
              <w:rPr>
                <w:rFonts w:ascii="宋体" w:hAnsi="宋体" w:cs="宋体"/>
                <w:color w:val="000000"/>
                <w:kern w:val="0"/>
                <w:sz w:val="20"/>
                <w:szCs w:val="20"/>
              </w:rPr>
              <w:t>6.46%</w:t>
            </w:r>
          </w:p>
        </w:tc>
        <w:tc>
          <w:tcPr>
            <w:tcW w:w="65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786" w:type="dxa"/>
            <w:tcBorders>
              <w:top w:val="nil"/>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　</w:t>
            </w:r>
          </w:p>
        </w:tc>
        <w:tc>
          <w:tcPr>
            <w:tcW w:w="40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通过年度部门决算与年初部门预算对比，对部门的年度支出情况进行考核，衡量部门预算的约束力。</w:t>
            </w:r>
          </w:p>
        </w:tc>
        <w:tc>
          <w:tcPr>
            <w:tcW w:w="430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部门预决算差异率高于市级平均差异率（28.3%）的，每高出10%（含），扣0.4分，扣完为止。</w:t>
            </w:r>
          </w:p>
        </w:tc>
      </w:tr>
      <w:tr>
        <w:tblPrEx>
          <w:tblCellMar>
            <w:top w:w="0" w:type="dxa"/>
            <w:left w:w="108" w:type="dxa"/>
            <w:bottom w:w="0" w:type="dxa"/>
            <w:right w:w="108" w:type="dxa"/>
          </w:tblCellMar>
        </w:tblPrEx>
        <w:trPr>
          <w:trHeight w:val="404" w:hRule="atLeast"/>
        </w:trPr>
        <w:tc>
          <w:tcPr>
            <w:tcW w:w="4334"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合计</w:t>
            </w:r>
          </w:p>
        </w:tc>
        <w:tc>
          <w:tcPr>
            <w:tcW w:w="65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786" w:type="dxa"/>
            <w:tcBorders>
              <w:top w:val="nil"/>
              <w:left w:val="nil"/>
              <w:bottom w:val="single" w:color="auto" w:sz="4" w:space="0"/>
              <w:right w:val="nil"/>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96.63</w:t>
            </w:r>
            <w:r>
              <w:rPr>
                <w:rFonts w:hint="eastAsia" w:ascii="宋体" w:hAnsi="宋体" w:cs="宋体"/>
                <w:color w:val="000000"/>
                <w:kern w:val="0"/>
                <w:sz w:val="20"/>
                <w:szCs w:val="20"/>
              </w:rPr>
              <w:t>　</w:t>
            </w:r>
          </w:p>
        </w:tc>
        <w:tc>
          <w:tcPr>
            <w:tcW w:w="8396"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bl>
    <w:p>
      <w:pPr>
        <w:rPr>
          <w:rFonts w:hint="eastAsia"/>
        </w:rPr>
      </w:pPr>
    </w:p>
    <w:sectPr>
      <w:pgSz w:w="16838" w:h="11906" w:orient="landscape"/>
      <w:pgMar w:top="1800" w:right="1440" w:bottom="1800" w:left="144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6 -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6 -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1YWQ5N2EzODUxMWJhZjZmYmQ5OTlkNWJhZDRjNWEifQ=="/>
  </w:docVars>
  <w:rsids>
    <w:rsidRoot w:val="F77F09F4"/>
    <w:rsid w:val="000156A6"/>
    <w:rsid w:val="000203E7"/>
    <w:rsid w:val="00021B87"/>
    <w:rsid w:val="0002316B"/>
    <w:rsid w:val="000261A6"/>
    <w:rsid w:val="00026937"/>
    <w:rsid w:val="00040713"/>
    <w:rsid w:val="00046C08"/>
    <w:rsid w:val="00047850"/>
    <w:rsid w:val="00050D4D"/>
    <w:rsid w:val="00065148"/>
    <w:rsid w:val="00065CEE"/>
    <w:rsid w:val="000706F6"/>
    <w:rsid w:val="00080C51"/>
    <w:rsid w:val="00080DC7"/>
    <w:rsid w:val="00091926"/>
    <w:rsid w:val="000934FA"/>
    <w:rsid w:val="000A5B0F"/>
    <w:rsid w:val="000A6EA2"/>
    <w:rsid w:val="000B3995"/>
    <w:rsid w:val="000B6C93"/>
    <w:rsid w:val="000B6EDE"/>
    <w:rsid w:val="000C0915"/>
    <w:rsid w:val="000C302C"/>
    <w:rsid w:val="000C4194"/>
    <w:rsid w:val="000D2383"/>
    <w:rsid w:val="000F0D87"/>
    <w:rsid w:val="000F7A1F"/>
    <w:rsid w:val="0011497E"/>
    <w:rsid w:val="0012399F"/>
    <w:rsid w:val="001248C0"/>
    <w:rsid w:val="00150356"/>
    <w:rsid w:val="00156CB6"/>
    <w:rsid w:val="00174C42"/>
    <w:rsid w:val="001943FD"/>
    <w:rsid w:val="00194AF4"/>
    <w:rsid w:val="00195889"/>
    <w:rsid w:val="00196958"/>
    <w:rsid w:val="00197B82"/>
    <w:rsid w:val="001A15AD"/>
    <w:rsid w:val="001A7374"/>
    <w:rsid w:val="001A76A7"/>
    <w:rsid w:val="001B177B"/>
    <w:rsid w:val="001C0BF4"/>
    <w:rsid w:val="001C6316"/>
    <w:rsid w:val="001D3950"/>
    <w:rsid w:val="001F0481"/>
    <w:rsid w:val="002036B5"/>
    <w:rsid w:val="00204806"/>
    <w:rsid w:val="0020724A"/>
    <w:rsid w:val="00226A54"/>
    <w:rsid w:val="00230F02"/>
    <w:rsid w:val="0023250D"/>
    <w:rsid w:val="002411DA"/>
    <w:rsid w:val="0025177A"/>
    <w:rsid w:val="00251C5D"/>
    <w:rsid w:val="002541E9"/>
    <w:rsid w:val="0026138E"/>
    <w:rsid w:val="0026254C"/>
    <w:rsid w:val="00270622"/>
    <w:rsid w:val="002749C9"/>
    <w:rsid w:val="00284B4C"/>
    <w:rsid w:val="00287993"/>
    <w:rsid w:val="00293A36"/>
    <w:rsid w:val="002A3BED"/>
    <w:rsid w:val="002B2923"/>
    <w:rsid w:val="002E1FD9"/>
    <w:rsid w:val="00303357"/>
    <w:rsid w:val="0030429F"/>
    <w:rsid w:val="00307B32"/>
    <w:rsid w:val="003117C7"/>
    <w:rsid w:val="003132FA"/>
    <w:rsid w:val="00313CA5"/>
    <w:rsid w:val="00320219"/>
    <w:rsid w:val="00325DB0"/>
    <w:rsid w:val="00334CBC"/>
    <w:rsid w:val="0034632C"/>
    <w:rsid w:val="003549CD"/>
    <w:rsid w:val="00354C74"/>
    <w:rsid w:val="003661AD"/>
    <w:rsid w:val="00367A8A"/>
    <w:rsid w:val="00381B9A"/>
    <w:rsid w:val="003871A1"/>
    <w:rsid w:val="00391940"/>
    <w:rsid w:val="00394670"/>
    <w:rsid w:val="003B07FF"/>
    <w:rsid w:val="003C210D"/>
    <w:rsid w:val="003D1145"/>
    <w:rsid w:val="003D43A4"/>
    <w:rsid w:val="003D5348"/>
    <w:rsid w:val="003D7077"/>
    <w:rsid w:val="003E2999"/>
    <w:rsid w:val="003E5A5A"/>
    <w:rsid w:val="003F1858"/>
    <w:rsid w:val="003F636E"/>
    <w:rsid w:val="00406C59"/>
    <w:rsid w:val="004075A3"/>
    <w:rsid w:val="00417AA5"/>
    <w:rsid w:val="004245D0"/>
    <w:rsid w:val="00437C8B"/>
    <w:rsid w:val="00442A99"/>
    <w:rsid w:val="004443A6"/>
    <w:rsid w:val="00451474"/>
    <w:rsid w:val="00451C70"/>
    <w:rsid w:val="0045235D"/>
    <w:rsid w:val="004526D4"/>
    <w:rsid w:val="00454D26"/>
    <w:rsid w:val="00460FB1"/>
    <w:rsid w:val="00465CFB"/>
    <w:rsid w:val="00466F50"/>
    <w:rsid w:val="00471415"/>
    <w:rsid w:val="00492256"/>
    <w:rsid w:val="004B34A6"/>
    <w:rsid w:val="004B4B64"/>
    <w:rsid w:val="004C66B8"/>
    <w:rsid w:val="004C7B6C"/>
    <w:rsid w:val="004E4196"/>
    <w:rsid w:val="004F6ABB"/>
    <w:rsid w:val="00506EA6"/>
    <w:rsid w:val="005103D7"/>
    <w:rsid w:val="0051331D"/>
    <w:rsid w:val="0051587D"/>
    <w:rsid w:val="005201A9"/>
    <w:rsid w:val="0054226A"/>
    <w:rsid w:val="00542C92"/>
    <w:rsid w:val="0055641B"/>
    <w:rsid w:val="00557DFB"/>
    <w:rsid w:val="005660FC"/>
    <w:rsid w:val="00566ABB"/>
    <w:rsid w:val="005A5EF7"/>
    <w:rsid w:val="005A727C"/>
    <w:rsid w:val="005B4E9A"/>
    <w:rsid w:val="005C726D"/>
    <w:rsid w:val="005D5AD1"/>
    <w:rsid w:val="005E2CB5"/>
    <w:rsid w:val="005E46A1"/>
    <w:rsid w:val="00602C33"/>
    <w:rsid w:val="00603BBF"/>
    <w:rsid w:val="00605581"/>
    <w:rsid w:val="00621904"/>
    <w:rsid w:val="00621958"/>
    <w:rsid w:val="00626497"/>
    <w:rsid w:val="006435BC"/>
    <w:rsid w:val="0064775B"/>
    <w:rsid w:val="00655C03"/>
    <w:rsid w:val="00666514"/>
    <w:rsid w:val="00671FF9"/>
    <w:rsid w:val="006779B9"/>
    <w:rsid w:val="00684387"/>
    <w:rsid w:val="006960A8"/>
    <w:rsid w:val="006A4DE9"/>
    <w:rsid w:val="006A7E1B"/>
    <w:rsid w:val="006C31BC"/>
    <w:rsid w:val="006D22A6"/>
    <w:rsid w:val="006D4D09"/>
    <w:rsid w:val="006D5A49"/>
    <w:rsid w:val="006E2E2D"/>
    <w:rsid w:val="006E4AA3"/>
    <w:rsid w:val="00703FAC"/>
    <w:rsid w:val="00732AC9"/>
    <w:rsid w:val="00756A10"/>
    <w:rsid w:val="00771274"/>
    <w:rsid w:val="007810C1"/>
    <w:rsid w:val="0078141B"/>
    <w:rsid w:val="0079323E"/>
    <w:rsid w:val="007932A1"/>
    <w:rsid w:val="00793F86"/>
    <w:rsid w:val="007B6EAE"/>
    <w:rsid w:val="007C3165"/>
    <w:rsid w:val="007C6CD1"/>
    <w:rsid w:val="007C73CE"/>
    <w:rsid w:val="007D03FF"/>
    <w:rsid w:val="007D71D0"/>
    <w:rsid w:val="007F120B"/>
    <w:rsid w:val="00815B8C"/>
    <w:rsid w:val="00816987"/>
    <w:rsid w:val="008212D1"/>
    <w:rsid w:val="008238B4"/>
    <w:rsid w:val="008245AB"/>
    <w:rsid w:val="00830142"/>
    <w:rsid w:val="00831094"/>
    <w:rsid w:val="00833398"/>
    <w:rsid w:val="00841EBE"/>
    <w:rsid w:val="00846B47"/>
    <w:rsid w:val="00856EC3"/>
    <w:rsid w:val="0085720D"/>
    <w:rsid w:val="0086040D"/>
    <w:rsid w:val="008709BC"/>
    <w:rsid w:val="0087707D"/>
    <w:rsid w:val="008845CD"/>
    <w:rsid w:val="00887B5C"/>
    <w:rsid w:val="008900AB"/>
    <w:rsid w:val="00897614"/>
    <w:rsid w:val="008A6447"/>
    <w:rsid w:val="008A7285"/>
    <w:rsid w:val="008B058E"/>
    <w:rsid w:val="008B7075"/>
    <w:rsid w:val="008C16EE"/>
    <w:rsid w:val="008C51D0"/>
    <w:rsid w:val="008C7C54"/>
    <w:rsid w:val="008F70A1"/>
    <w:rsid w:val="0090337F"/>
    <w:rsid w:val="00903658"/>
    <w:rsid w:val="009046B7"/>
    <w:rsid w:val="009156DC"/>
    <w:rsid w:val="0092247D"/>
    <w:rsid w:val="00932482"/>
    <w:rsid w:val="00961892"/>
    <w:rsid w:val="0096430D"/>
    <w:rsid w:val="009914E8"/>
    <w:rsid w:val="00991E8E"/>
    <w:rsid w:val="00993794"/>
    <w:rsid w:val="00995058"/>
    <w:rsid w:val="00996FFB"/>
    <w:rsid w:val="009A1884"/>
    <w:rsid w:val="009C078C"/>
    <w:rsid w:val="009C07BD"/>
    <w:rsid w:val="009C21D1"/>
    <w:rsid w:val="009C6643"/>
    <w:rsid w:val="009D2749"/>
    <w:rsid w:val="009D3AE2"/>
    <w:rsid w:val="009E1F43"/>
    <w:rsid w:val="009F31D2"/>
    <w:rsid w:val="009F451F"/>
    <w:rsid w:val="009F6614"/>
    <w:rsid w:val="009F7DBD"/>
    <w:rsid w:val="00A26D04"/>
    <w:rsid w:val="00A35AC0"/>
    <w:rsid w:val="00A35FDD"/>
    <w:rsid w:val="00A418E0"/>
    <w:rsid w:val="00A419C6"/>
    <w:rsid w:val="00A54CFF"/>
    <w:rsid w:val="00A65222"/>
    <w:rsid w:val="00A722DC"/>
    <w:rsid w:val="00A73517"/>
    <w:rsid w:val="00A8235E"/>
    <w:rsid w:val="00A8427F"/>
    <w:rsid w:val="00A901A2"/>
    <w:rsid w:val="00A93736"/>
    <w:rsid w:val="00AA1750"/>
    <w:rsid w:val="00AA3DE4"/>
    <w:rsid w:val="00AB5112"/>
    <w:rsid w:val="00AB70CA"/>
    <w:rsid w:val="00AC344A"/>
    <w:rsid w:val="00AC7C18"/>
    <w:rsid w:val="00AD1822"/>
    <w:rsid w:val="00AE0919"/>
    <w:rsid w:val="00AE71AA"/>
    <w:rsid w:val="00B101B0"/>
    <w:rsid w:val="00B10656"/>
    <w:rsid w:val="00B322B4"/>
    <w:rsid w:val="00B60793"/>
    <w:rsid w:val="00B66EF8"/>
    <w:rsid w:val="00B6749C"/>
    <w:rsid w:val="00B7566D"/>
    <w:rsid w:val="00B75B9D"/>
    <w:rsid w:val="00BA4A4A"/>
    <w:rsid w:val="00BA7766"/>
    <w:rsid w:val="00BB2D5B"/>
    <w:rsid w:val="00BB538D"/>
    <w:rsid w:val="00BC2661"/>
    <w:rsid w:val="00BC7432"/>
    <w:rsid w:val="00BC752B"/>
    <w:rsid w:val="00BC76C1"/>
    <w:rsid w:val="00BD7B92"/>
    <w:rsid w:val="00C061C1"/>
    <w:rsid w:val="00C11985"/>
    <w:rsid w:val="00C342AB"/>
    <w:rsid w:val="00C40F4D"/>
    <w:rsid w:val="00C53564"/>
    <w:rsid w:val="00C54F42"/>
    <w:rsid w:val="00C65E55"/>
    <w:rsid w:val="00C723B5"/>
    <w:rsid w:val="00CA3188"/>
    <w:rsid w:val="00CB1EE2"/>
    <w:rsid w:val="00CB2702"/>
    <w:rsid w:val="00CB546A"/>
    <w:rsid w:val="00CC1597"/>
    <w:rsid w:val="00CC7615"/>
    <w:rsid w:val="00CD0540"/>
    <w:rsid w:val="00CD33C6"/>
    <w:rsid w:val="00CF2694"/>
    <w:rsid w:val="00CF319E"/>
    <w:rsid w:val="00CF3429"/>
    <w:rsid w:val="00CF5331"/>
    <w:rsid w:val="00D13B24"/>
    <w:rsid w:val="00D30338"/>
    <w:rsid w:val="00D52D26"/>
    <w:rsid w:val="00D53012"/>
    <w:rsid w:val="00D57100"/>
    <w:rsid w:val="00D60756"/>
    <w:rsid w:val="00D643EA"/>
    <w:rsid w:val="00D670C7"/>
    <w:rsid w:val="00D70079"/>
    <w:rsid w:val="00D70924"/>
    <w:rsid w:val="00DA64DC"/>
    <w:rsid w:val="00DA7ED4"/>
    <w:rsid w:val="00DC4F41"/>
    <w:rsid w:val="00DC6CEF"/>
    <w:rsid w:val="00DD2CCC"/>
    <w:rsid w:val="00DE64D8"/>
    <w:rsid w:val="00E1302D"/>
    <w:rsid w:val="00E224C4"/>
    <w:rsid w:val="00E41796"/>
    <w:rsid w:val="00E41F30"/>
    <w:rsid w:val="00E6606D"/>
    <w:rsid w:val="00E741D7"/>
    <w:rsid w:val="00EB0FB0"/>
    <w:rsid w:val="00EB5AF4"/>
    <w:rsid w:val="00EB6194"/>
    <w:rsid w:val="00EB7B5F"/>
    <w:rsid w:val="00EF24DB"/>
    <w:rsid w:val="00F036E1"/>
    <w:rsid w:val="00F115B0"/>
    <w:rsid w:val="00F16180"/>
    <w:rsid w:val="00F33351"/>
    <w:rsid w:val="00F4057C"/>
    <w:rsid w:val="00F4268F"/>
    <w:rsid w:val="00F42883"/>
    <w:rsid w:val="00F63E38"/>
    <w:rsid w:val="00F71FFF"/>
    <w:rsid w:val="00F83DD7"/>
    <w:rsid w:val="00F87DC4"/>
    <w:rsid w:val="00F9029C"/>
    <w:rsid w:val="00F93BA5"/>
    <w:rsid w:val="00F96DEE"/>
    <w:rsid w:val="00FA5C4E"/>
    <w:rsid w:val="00FA66C6"/>
    <w:rsid w:val="00FE2591"/>
    <w:rsid w:val="00FF2BDD"/>
    <w:rsid w:val="02062AC6"/>
    <w:rsid w:val="03AA0DD7"/>
    <w:rsid w:val="06D514D0"/>
    <w:rsid w:val="085E0A5F"/>
    <w:rsid w:val="0A111DF9"/>
    <w:rsid w:val="0E0950D1"/>
    <w:rsid w:val="0EBC1185"/>
    <w:rsid w:val="0ECF9C51"/>
    <w:rsid w:val="0F7D67BE"/>
    <w:rsid w:val="0FF46F1A"/>
    <w:rsid w:val="10F55639"/>
    <w:rsid w:val="15584520"/>
    <w:rsid w:val="158A3E98"/>
    <w:rsid w:val="16A564EC"/>
    <w:rsid w:val="18C01696"/>
    <w:rsid w:val="191D6442"/>
    <w:rsid w:val="19513D42"/>
    <w:rsid w:val="1DBA16CB"/>
    <w:rsid w:val="1FDD7C8B"/>
    <w:rsid w:val="20D916E8"/>
    <w:rsid w:val="21B50E2F"/>
    <w:rsid w:val="23875699"/>
    <w:rsid w:val="29253FDA"/>
    <w:rsid w:val="2AC45C77"/>
    <w:rsid w:val="2B6639E3"/>
    <w:rsid w:val="2BD63BFC"/>
    <w:rsid w:val="2DB216A2"/>
    <w:rsid w:val="2F135A3A"/>
    <w:rsid w:val="32354F2E"/>
    <w:rsid w:val="33575E66"/>
    <w:rsid w:val="358E43FE"/>
    <w:rsid w:val="36DF6285"/>
    <w:rsid w:val="37173543"/>
    <w:rsid w:val="395C3DEE"/>
    <w:rsid w:val="3E4D205C"/>
    <w:rsid w:val="3FF76880"/>
    <w:rsid w:val="4C3A1768"/>
    <w:rsid w:val="4D985328"/>
    <w:rsid w:val="4FA11E0C"/>
    <w:rsid w:val="508D267F"/>
    <w:rsid w:val="51781AF3"/>
    <w:rsid w:val="547F72B7"/>
    <w:rsid w:val="54BA76BC"/>
    <w:rsid w:val="55F045A7"/>
    <w:rsid w:val="58F8339F"/>
    <w:rsid w:val="5B560C6A"/>
    <w:rsid w:val="5C173AFD"/>
    <w:rsid w:val="5E2E5092"/>
    <w:rsid w:val="5FDA2B51"/>
    <w:rsid w:val="64967D1D"/>
    <w:rsid w:val="66A54400"/>
    <w:rsid w:val="67184F5D"/>
    <w:rsid w:val="69B76EE3"/>
    <w:rsid w:val="6A087CE1"/>
    <w:rsid w:val="6D3F1533"/>
    <w:rsid w:val="70615E34"/>
    <w:rsid w:val="707D65B5"/>
    <w:rsid w:val="70C85DD6"/>
    <w:rsid w:val="744B619C"/>
    <w:rsid w:val="76F86560"/>
    <w:rsid w:val="76FE3E9A"/>
    <w:rsid w:val="789B4942"/>
    <w:rsid w:val="7A2F4973"/>
    <w:rsid w:val="7AB7FF50"/>
    <w:rsid w:val="7ABA5899"/>
    <w:rsid w:val="7AE6434B"/>
    <w:rsid w:val="7B3B6D2F"/>
    <w:rsid w:val="7BA54C7E"/>
    <w:rsid w:val="7BED3DEE"/>
    <w:rsid w:val="7BFEB0DB"/>
    <w:rsid w:val="7C5677CA"/>
    <w:rsid w:val="7E5805F1"/>
    <w:rsid w:val="7F764ECE"/>
    <w:rsid w:val="7FBB6F2F"/>
    <w:rsid w:val="7FFF3306"/>
    <w:rsid w:val="C36F37B1"/>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page number"/>
    <w:basedOn w:val="6"/>
    <w:qFormat/>
    <w:uiPriority w:val="0"/>
  </w:style>
  <w:style w:type="paragraph" w:customStyle="1" w:styleId="8">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6D0633-6D66-4B31-9DC4-3FA51D9CA6AE}">
  <ds:schemaRefs/>
</ds:datastoreItem>
</file>

<file path=docProps/app.xml><?xml version="1.0" encoding="utf-8"?>
<Properties xmlns="http://schemas.openxmlformats.org/officeDocument/2006/extended-properties" xmlns:vt="http://schemas.openxmlformats.org/officeDocument/2006/docPropsVTypes">
  <Template>Normal</Template>
  <Pages>12</Pages>
  <Words>5391</Words>
  <Characters>5712</Characters>
  <Lines>47</Lines>
  <Paragraphs>13</Paragraphs>
  <TotalTime>0</TotalTime>
  <ScaleCrop>false</ScaleCrop>
  <LinksUpToDate>false</LinksUpToDate>
  <CharactersWithSpaces>5774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2022-03-10T19:16:00Z</dcterms:created>
  <dc:creator>user</dc:creator>
  <cp:lastModifiedBy>dangjinze</cp:lastModifiedBy>
  <dcterms:modified xsi:type="dcterms:W3CDTF">2024-08-28T03:29:42Z</dcterms:modified>
  <cp:revision>323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6A4CBA4968DB4AA6ADA8DFB42C99916A_12</vt:lpwstr>
  </property>
</Properties>
</file>