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8B689">
      <w:pPr>
        <w:jc w:val="center"/>
        <w:rPr>
          <w:rFonts w:ascii="仿宋_GB2312" w:eastAsia="仿宋_GB2312"/>
          <w:b/>
          <w:sz w:val="32"/>
          <w:szCs w:val="32"/>
        </w:rPr>
      </w:pPr>
    </w:p>
    <w:p w14:paraId="5AA6B562">
      <w:pPr>
        <w:jc w:val="center"/>
        <w:rPr>
          <w:rFonts w:ascii="黑体" w:eastAsia="黑体"/>
          <w:sz w:val="72"/>
          <w:szCs w:val="72"/>
        </w:rPr>
      </w:pPr>
    </w:p>
    <w:p w14:paraId="7E7E1FF4">
      <w:pPr>
        <w:jc w:val="center"/>
        <w:rPr>
          <w:rFonts w:ascii="黑体" w:eastAsia="黑体"/>
          <w:sz w:val="72"/>
          <w:szCs w:val="72"/>
        </w:rPr>
      </w:pPr>
    </w:p>
    <w:p w14:paraId="725609F8">
      <w:pPr>
        <w:jc w:val="center"/>
        <w:rPr>
          <w:rFonts w:ascii="黑体" w:eastAsia="黑体"/>
          <w:sz w:val="72"/>
          <w:szCs w:val="72"/>
        </w:rPr>
      </w:pPr>
    </w:p>
    <w:p w14:paraId="7453ED50">
      <w:pPr>
        <w:jc w:val="center"/>
        <w:rPr>
          <w:rFonts w:ascii="黑体" w:eastAsia="黑体"/>
          <w:sz w:val="72"/>
          <w:szCs w:val="72"/>
        </w:rPr>
      </w:pPr>
    </w:p>
    <w:p w14:paraId="638E6520">
      <w:pPr>
        <w:jc w:val="center"/>
        <w:rPr>
          <w:rFonts w:ascii="黑体" w:eastAsia="黑体"/>
          <w:sz w:val="52"/>
          <w:szCs w:val="5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29A40C26">
      <w:pPr>
        <w:jc w:val="center"/>
        <w:rPr>
          <w:rFonts w:ascii="黑体" w:eastAsia="黑体"/>
          <w:sz w:val="52"/>
          <w:szCs w:val="52"/>
        </w:rPr>
      </w:pPr>
    </w:p>
    <w:p w14:paraId="7CBEA82A">
      <w:pPr>
        <w:jc w:val="center"/>
        <w:rPr>
          <w:rFonts w:ascii="黑体" w:eastAsia="黑体"/>
          <w:sz w:val="52"/>
          <w:szCs w:val="52"/>
        </w:rPr>
      </w:pPr>
    </w:p>
    <w:p w14:paraId="774381BD">
      <w:pPr>
        <w:jc w:val="center"/>
        <w:rPr>
          <w:rFonts w:ascii="黑体" w:eastAsia="黑体"/>
          <w:sz w:val="52"/>
          <w:szCs w:val="52"/>
        </w:rPr>
      </w:pPr>
    </w:p>
    <w:p w14:paraId="706DA9B2">
      <w:pPr>
        <w:jc w:val="center"/>
        <w:rPr>
          <w:rFonts w:ascii="黑体" w:eastAsia="黑体"/>
          <w:sz w:val="32"/>
          <w:szCs w:val="32"/>
        </w:rPr>
      </w:pPr>
    </w:p>
    <w:p w14:paraId="77FB733E">
      <w:pPr>
        <w:spacing w:line="500" w:lineRule="exact"/>
        <w:ind w:firstLine="645"/>
        <w:jc w:val="center"/>
        <w:rPr>
          <w:rFonts w:hint="eastAsia" w:ascii="宋体" w:hAnsi="宋体" w:cs="宋体"/>
          <w:b/>
          <w:bCs/>
          <w:kern w:val="0"/>
          <w:sz w:val="44"/>
          <w:szCs w:val="36"/>
        </w:rPr>
      </w:pPr>
    </w:p>
    <w:p w14:paraId="65B7CA25">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0400CB2">
      <w:pPr>
        <w:spacing w:line="500" w:lineRule="exact"/>
        <w:ind w:firstLine="645"/>
        <w:jc w:val="center"/>
        <w:rPr>
          <w:rFonts w:ascii="宋体" w:hAnsi="宋体" w:cs="宋体"/>
          <w:b/>
          <w:bCs/>
          <w:kern w:val="0"/>
          <w:sz w:val="36"/>
          <w:szCs w:val="36"/>
        </w:rPr>
      </w:pPr>
    </w:p>
    <w:p w14:paraId="2E2A69E7">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14:paraId="2BD9507B">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F04873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1A03ABE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354638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0B2A03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F5E430A">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1267B2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035171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0E5C10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75F573A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94B5A2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47B17B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53A45FC0">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14:paraId="7443620A">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44881EDA">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14:paraId="232ADBC5">
      <w:pPr>
        <w:tabs>
          <w:tab w:val="center" w:pos="6979"/>
        </w:tabs>
        <w:spacing w:before="156" w:beforeLines="50" w:after="156" w:afterLines="50"/>
        <w:jc w:val="center"/>
        <w:rPr>
          <w:rFonts w:ascii="宋体" w:hAnsi="宋体" w:cs="宋体"/>
          <w:b/>
          <w:bCs/>
          <w:spacing w:val="40"/>
          <w:kern w:val="0"/>
          <w:sz w:val="32"/>
          <w:szCs w:val="32"/>
        </w:rPr>
      </w:pPr>
    </w:p>
    <w:p w14:paraId="21715DB7">
      <w:pPr>
        <w:tabs>
          <w:tab w:val="center" w:pos="6979"/>
        </w:tabs>
        <w:spacing w:before="156" w:beforeLines="50" w:after="156" w:afterLines="50"/>
        <w:jc w:val="center"/>
        <w:rPr>
          <w:rFonts w:ascii="宋体" w:hAnsi="宋体" w:cs="宋体"/>
          <w:b/>
          <w:bCs/>
          <w:spacing w:val="40"/>
          <w:kern w:val="0"/>
          <w:sz w:val="32"/>
          <w:szCs w:val="32"/>
        </w:rPr>
      </w:pPr>
    </w:p>
    <w:p w14:paraId="2474826C">
      <w:pPr>
        <w:tabs>
          <w:tab w:val="center" w:pos="6979"/>
        </w:tabs>
        <w:spacing w:before="156" w:beforeLines="50" w:after="156" w:afterLines="50"/>
        <w:jc w:val="center"/>
        <w:rPr>
          <w:rFonts w:ascii="宋体" w:hAnsi="宋体" w:cs="宋体"/>
          <w:b/>
          <w:bCs/>
          <w:spacing w:val="40"/>
          <w:kern w:val="0"/>
          <w:sz w:val="32"/>
          <w:szCs w:val="32"/>
        </w:rPr>
      </w:pPr>
    </w:p>
    <w:p w14:paraId="23330625">
      <w:pPr>
        <w:tabs>
          <w:tab w:val="center" w:pos="6979"/>
        </w:tabs>
        <w:spacing w:before="156" w:beforeLines="50" w:after="156" w:afterLines="50"/>
        <w:jc w:val="center"/>
        <w:rPr>
          <w:rFonts w:ascii="宋体" w:hAnsi="宋体" w:cs="宋体"/>
          <w:b/>
          <w:bCs/>
          <w:spacing w:val="40"/>
          <w:kern w:val="0"/>
          <w:sz w:val="32"/>
          <w:szCs w:val="32"/>
        </w:rPr>
      </w:pPr>
    </w:p>
    <w:p w14:paraId="76075B2F">
      <w:pPr>
        <w:tabs>
          <w:tab w:val="center" w:pos="6979"/>
        </w:tabs>
        <w:spacing w:before="156" w:beforeLines="50" w:after="156" w:afterLines="50"/>
        <w:jc w:val="center"/>
        <w:rPr>
          <w:rFonts w:ascii="宋体" w:hAnsi="宋体" w:cs="宋体"/>
          <w:b/>
          <w:bCs/>
          <w:spacing w:val="40"/>
          <w:kern w:val="0"/>
          <w:sz w:val="32"/>
          <w:szCs w:val="32"/>
        </w:rPr>
      </w:pPr>
    </w:p>
    <w:p w14:paraId="2B089120">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1AE93703">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3932643">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14:paraId="1D06BE64">
      <w:pPr>
        <w:tabs>
          <w:tab w:val="center" w:pos="6979"/>
        </w:tabs>
        <w:spacing w:line="580" w:lineRule="exact"/>
        <w:ind w:firstLine="548" w:firstLineChars="196"/>
        <w:rPr>
          <w:rFonts w:hint="eastAsia" w:ascii="仿宋_GB2312" w:eastAsia="仿宋_GB2312"/>
          <w:sz w:val="28"/>
          <w:szCs w:val="28"/>
          <w:lang w:val="en-US" w:eastAsia="zh-CN"/>
        </w:rPr>
      </w:pPr>
      <w:r>
        <w:rPr>
          <w:rFonts w:hint="eastAsia" w:ascii="黑体" w:eastAsia="黑体"/>
          <w:b/>
          <w:sz w:val="28"/>
          <w:szCs w:val="28"/>
        </w:rPr>
        <w:t>一、部门基本情况</w:t>
      </w:r>
    </w:p>
    <w:p w14:paraId="719EAA99">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北京市信访办公室内设机构12个，分别为：秘书处、来信办理处、网上信访办理处（投诉受理办公室）、来访接待处（北京市人民来访接待室）、对外联络协调处、综合调研处、排查调处办公室、督查处、复查复核处、人民建议征集办公室、宣传处（法规处）、人事处，另设机关党委、工会、离退休干部处。另有1个全额拨款事业单位，北京市信访办公室综合事务中心。下设一个预算单位，北京市信访办公室（本级）。</w:t>
      </w:r>
    </w:p>
    <w:p w14:paraId="4600DBB3">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北京市信访办公室贯彻落实党中央关于信访工作的方针政策、决策部署和市委有关工作要求，在履行职责过程中坚持和加强党对信访工作的集中统一领导。</w:t>
      </w:r>
    </w:p>
    <w:p w14:paraId="56A11BEB">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F6BB970">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9069.91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217.4</w:t>
      </w:r>
      <w:r>
        <w:rPr>
          <w:rFonts w:hint="eastAsia" w:ascii="仿宋_GB2312" w:eastAsia="仿宋_GB2312"/>
          <w:sz w:val="28"/>
          <w:szCs w:val="28"/>
        </w:rPr>
        <w:t>万元，增长</w:t>
      </w:r>
      <w:r>
        <w:rPr>
          <w:rFonts w:hint="eastAsia" w:ascii="仿宋_GB2312" w:eastAsia="仿宋_GB2312"/>
          <w:sz w:val="28"/>
          <w:szCs w:val="28"/>
          <w:lang w:val="en-US" w:eastAsia="zh-CN"/>
        </w:rPr>
        <w:t>2.46</w:t>
      </w:r>
      <w:r>
        <w:rPr>
          <w:rFonts w:hint="eastAsia" w:ascii="仿宋_GB2312" w:eastAsia="仿宋_GB2312"/>
          <w:sz w:val="28"/>
          <w:szCs w:val="28"/>
        </w:rPr>
        <w:t>%。</w:t>
      </w:r>
    </w:p>
    <w:p w14:paraId="364BFFD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0FC243B9">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9069.44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216.93</w:t>
      </w:r>
      <w:r>
        <w:rPr>
          <w:rFonts w:hint="eastAsia" w:ascii="仿宋_GB2312" w:eastAsia="仿宋_GB2312"/>
          <w:sz w:val="28"/>
          <w:szCs w:val="28"/>
        </w:rPr>
        <w:t>万元，增长</w:t>
      </w:r>
      <w:r>
        <w:rPr>
          <w:rFonts w:hint="eastAsia" w:ascii="仿宋_GB2312" w:eastAsia="仿宋_GB2312"/>
          <w:sz w:val="28"/>
          <w:szCs w:val="28"/>
          <w:lang w:val="en-US" w:eastAsia="zh-CN"/>
        </w:rPr>
        <w:t>2.45</w:t>
      </w:r>
      <w:r>
        <w:rPr>
          <w:rFonts w:hint="eastAsia" w:ascii="仿宋_GB2312" w:eastAsia="仿宋_GB2312"/>
          <w:sz w:val="28"/>
          <w:szCs w:val="28"/>
        </w:rPr>
        <w:t>%</w:t>
      </w:r>
      <w:r>
        <w:rPr>
          <w:rFonts w:hint="eastAsia" w:ascii="仿宋_GB2312" w:eastAsia="仿宋_GB2312"/>
          <w:sz w:val="28"/>
          <w:szCs w:val="28"/>
          <w:lang w:eastAsia="zh-CN"/>
        </w:rPr>
        <w:t>。</w:t>
      </w:r>
    </w:p>
    <w:p w14:paraId="7FE9FD87">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9069.44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9069.44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EA29AF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3E9502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A69710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FDE1A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9E4CA0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67C689E">
      <w:pPr>
        <w:pStyle w:val="2"/>
        <w:jc w:val="center"/>
        <w:rPr>
          <w:rFonts w:hint="eastAsia"/>
        </w:rPr>
      </w:pPr>
      <w:r>
        <w:rPr>
          <w:rFonts w:hint="eastAsia" w:ascii="仿宋_GB2312" w:eastAsia="仿宋_GB2312"/>
          <w:color w:val="000000"/>
          <w:sz w:val="32"/>
        </w:rPr>
        <w:t>图1：收入决算</w:t>
      </w:r>
    </w:p>
    <w:p w14:paraId="42EE6203">
      <w:pPr>
        <w:pStyle w:val="3"/>
        <w:ind w:firstLine="420"/>
        <w:jc w:val="center"/>
      </w:pPr>
      <w:r>
        <w:drawing>
          <wp:inline distT="0" distB="0" distL="0" distR="0">
            <wp:extent cx="3796030" cy="3030855"/>
            <wp:effectExtent l="4445" t="5080" r="9525" b="1206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61EA80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28B755A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8687.82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266.31</w:t>
      </w:r>
      <w:r>
        <w:rPr>
          <w:rFonts w:hint="eastAsia" w:ascii="仿宋_GB2312" w:eastAsia="仿宋_GB2312"/>
          <w:sz w:val="28"/>
          <w:szCs w:val="28"/>
        </w:rPr>
        <w:t>万元，增长</w:t>
      </w:r>
      <w:r>
        <w:rPr>
          <w:rFonts w:hint="eastAsia" w:ascii="仿宋_GB2312" w:eastAsia="仿宋_GB2312"/>
          <w:sz w:val="28"/>
          <w:szCs w:val="28"/>
          <w:lang w:val="en-US" w:eastAsia="zh-CN"/>
        </w:rPr>
        <w:t>3.16</w:t>
      </w:r>
      <w:r>
        <w:rPr>
          <w:rFonts w:hint="eastAsia" w:ascii="仿宋_GB2312" w:eastAsia="仿宋_GB2312"/>
          <w:sz w:val="28"/>
          <w:szCs w:val="28"/>
        </w:rPr>
        <w:t>%，其中：基本支出</w:t>
      </w:r>
      <w:r>
        <w:rPr>
          <w:rFonts w:ascii="仿宋_GB2312" w:eastAsia="仿宋_GB2312"/>
          <w:sz w:val="28"/>
          <w:szCs w:val="28"/>
        </w:rPr>
        <w:t>6889.46</w:t>
      </w:r>
      <w:r>
        <w:rPr>
          <w:rFonts w:hint="eastAsia" w:ascii="仿宋_GB2312" w:eastAsia="仿宋_GB2312"/>
          <w:sz w:val="28"/>
          <w:szCs w:val="28"/>
        </w:rPr>
        <w:t>万元，占支出合计的</w:t>
      </w:r>
      <w:r>
        <w:rPr>
          <w:rFonts w:hint="eastAsia" w:ascii="仿宋_GB2312" w:eastAsia="仿宋_GB2312"/>
          <w:sz w:val="28"/>
          <w:szCs w:val="28"/>
          <w:lang w:eastAsia="zh-CN"/>
        </w:rPr>
        <w:t>79.3</w:t>
      </w:r>
      <w:r>
        <w:rPr>
          <w:rFonts w:hint="eastAsia" w:ascii="仿宋_GB2312" w:eastAsia="仿宋_GB2312"/>
          <w:sz w:val="28"/>
          <w:szCs w:val="28"/>
        </w:rPr>
        <w:t>%；项目支出</w:t>
      </w:r>
      <w:r>
        <w:rPr>
          <w:rFonts w:ascii="仿宋_GB2312" w:eastAsia="仿宋_GB2312"/>
          <w:sz w:val="28"/>
          <w:szCs w:val="28"/>
        </w:rPr>
        <w:t>1798.36</w:t>
      </w:r>
      <w:r>
        <w:rPr>
          <w:rFonts w:hint="eastAsia" w:ascii="仿宋_GB2312" w:eastAsia="仿宋_GB2312"/>
          <w:sz w:val="28"/>
          <w:szCs w:val="28"/>
        </w:rPr>
        <w:t>万元，占支出合计的</w:t>
      </w:r>
      <w:r>
        <w:rPr>
          <w:rFonts w:hint="eastAsia" w:ascii="仿宋_GB2312" w:eastAsia="仿宋_GB2312"/>
          <w:sz w:val="28"/>
          <w:szCs w:val="28"/>
          <w:lang w:eastAsia="zh-CN"/>
        </w:rPr>
        <w:t>20.7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60EB2221">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41E8DF55">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2AF77B">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A6E25E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bookmarkStart w:id="0" w:name="OLE_LINK1"/>
      <w:r>
        <w:rPr>
          <w:rFonts w:ascii="仿宋_GB2312" w:eastAsia="仿宋_GB2312"/>
          <w:sz w:val="28"/>
          <w:szCs w:val="28"/>
        </w:rPr>
        <w:t>9069.91</w:t>
      </w:r>
      <w:bookmarkEnd w:id="0"/>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217.4</w:t>
      </w:r>
      <w:r>
        <w:rPr>
          <w:rFonts w:hint="eastAsia" w:ascii="仿宋_GB2312" w:eastAsia="仿宋_GB2312"/>
          <w:sz w:val="28"/>
          <w:szCs w:val="28"/>
        </w:rPr>
        <w:t>万元，增长</w:t>
      </w:r>
      <w:r>
        <w:rPr>
          <w:rFonts w:hint="eastAsia" w:ascii="仿宋_GB2312" w:eastAsia="仿宋_GB2312"/>
          <w:sz w:val="28"/>
          <w:szCs w:val="28"/>
          <w:lang w:val="en-US" w:eastAsia="zh-CN"/>
        </w:rPr>
        <w:t>2.46%</w:t>
      </w:r>
      <w:r>
        <w:rPr>
          <w:rFonts w:hint="eastAsia" w:ascii="仿宋_GB2312" w:eastAsia="仿宋_GB2312"/>
          <w:sz w:val="28"/>
          <w:szCs w:val="28"/>
        </w:rPr>
        <w:t>。</w:t>
      </w:r>
      <w:r>
        <w:rPr>
          <w:rFonts w:hint="eastAsia" w:ascii="仿宋_GB2312" w:eastAsia="仿宋_GB2312"/>
          <w:sz w:val="28"/>
          <w:szCs w:val="28"/>
          <w:lang w:val="en-US" w:eastAsia="zh-CN"/>
        </w:rPr>
        <w:t>主要原因是正常增人增资。</w:t>
      </w:r>
    </w:p>
    <w:p w14:paraId="7637D934">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2C17C39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2330CA22">
      <w:pPr>
        <w:tabs>
          <w:tab w:val="center" w:pos="6979"/>
        </w:tabs>
        <w:spacing w:line="580" w:lineRule="exact"/>
        <w:ind w:firstLine="560" w:firstLineChars="200"/>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年度一般公共预算财政拨款支出8687.82万元，主要用于以下方面：一般公共服务支出7485.4万元，占本年财政拨款支出86.16%；教育支出7.77</w:t>
      </w:r>
      <w:r>
        <w:rPr>
          <w:rFonts w:hint="eastAsia" w:ascii="仿宋_GB2312" w:eastAsia="仿宋_GB2312"/>
          <w:sz w:val="28"/>
          <w:szCs w:val="28"/>
          <w:lang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0.09%；社会保障和就业支出783.61万元，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9.02</w:t>
      </w:r>
      <w:r>
        <w:rPr>
          <w:rFonts w:hint="eastAsia" w:ascii="仿宋_GB2312" w:eastAsia="仿宋_GB2312"/>
          <w:sz w:val="28"/>
          <w:szCs w:val="28"/>
        </w:rPr>
        <w:t>%</w:t>
      </w:r>
      <w:r>
        <w:rPr>
          <w:rFonts w:hint="eastAsia" w:ascii="仿宋_GB2312" w:eastAsia="仿宋_GB2312"/>
          <w:sz w:val="28"/>
          <w:szCs w:val="28"/>
          <w:lang w:eastAsia="zh-CN"/>
        </w:rPr>
        <w:t>；卫生健康支出411.04万元，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4.73%。</w:t>
      </w:r>
    </w:p>
    <w:p w14:paraId="15D4471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665E8C3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1、“一般公共服务支出”（类）2024年度年初预算8431.0</w:t>
      </w:r>
      <w:r>
        <w:rPr>
          <w:rFonts w:hint="eastAsia" w:ascii="仿宋_GB2312" w:eastAsia="仿宋_GB2312"/>
          <w:sz w:val="28"/>
          <w:szCs w:val="28"/>
          <w:lang w:val="en-US" w:eastAsia="zh-CN"/>
        </w:rPr>
        <w:t>1</w:t>
      </w:r>
      <w:r>
        <w:rPr>
          <w:rFonts w:hint="eastAsia" w:ascii="仿宋_GB2312" w:eastAsia="仿宋_GB2312"/>
          <w:sz w:val="28"/>
          <w:szCs w:val="28"/>
        </w:rPr>
        <w:t>万元，2024年度决算7485.4万元，完成年初预算的</w:t>
      </w:r>
      <w:r>
        <w:rPr>
          <w:rFonts w:hint="eastAsia" w:ascii="仿宋_GB2312" w:eastAsia="仿宋_GB2312"/>
          <w:sz w:val="28"/>
          <w:szCs w:val="28"/>
          <w:lang w:val="en-US" w:eastAsia="zh-CN"/>
        </w:rPr>
        <w:t>88.78</w:t>
      </w:r>
      <w:r>
        <w:rPr>
          <w:rFonts w:hint="eastAsia" w:ascii="仿宋_GB2312" w:eastAsia="仿宋_GB2312"/>
          <w:sz w:val="28"/>
          <w:szCs w:val="28"/>
        </w:rPr>
        <w:t>%。其中：</w:t>
      </w:r>
    </w:p>
    <w:p w14:paraId="3A7E7E58">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“信访事务”（款）2024年度年初预算</w:t>
      </w:r>
      <w:r>
        <w:rPr>
          <w:rFonts w:hint="eastAsia" w:ascii="仿宋_GB2312" w:eastAsia="仿宋_GB2312"/>
          <w:sz w:val="28"/>
          <w:szCs w:val="28"/>
          <w:lang w:val="en-US" w:eastAsia="zh-CN"/>
        </w:rPr>
        <w:t>8430.54</w:t>
      </w:r>
      <w:r>
        <w:rPr>
          <w:rFonts w:hint="eastAsia" w:ascii="仿宋_GB2312" w:eastAsia="仿宋_GB2312"/>
          <w:sz w:val="28"/>
          <w:szCs w:val="28"/>
        </w:rPr>
        <w:t>万元，2024年度决算</w:t>
      </w:r>
      <w:r>
        <w:rPr>
          <w:rFonts w:hint="eastAsia" w:ascii="仿宋_GB2312" w:eastAsia="仿宋_GB2312"/>
          <w:sz w:val="28"/>
          <w:szCs w:val="28"/>
          <w:lang w:val="en-US" w:eastAsia="zh-CN"/>
        </w:rPr>
        <w:t>7484.93</w:t>
      </w:r>
      <w:r>
        <w:rPr>
          <w:rFonts w:hint="eastAsia" w:ascii="仿宋_GB2312" w:eastAsia="仿宋_GB2312"/>
          <w:sz w:val="28"/>
          <w:szCs w:val="28"/>
        </w:rPr>
        <w:t>万元，完成年初预算的</w:t>
      </w:r>
      <w:r>
        <w:rPr>
          <w:rFonts w:hint="eastAsia" w:ascii="仿宋_GB2312" w:eastAsia="仿宋_GB2312"/>
          <w:sz w:val="28"/>
          <w:szCs w:val="28"/>
          <w:lang w:val="en-US" w:eastAsia="zh-CN"/>
        </w:rPr>
        <w:t>88.78</w:t>
      </w:r>
      <w:r>
        <w:rPr>
          <w:rFonts w:hint="eastAsia" w:ascii="仿宋_GB2312" w:eastAsia="仿宋_GB2312"/>
          <w:sz w:val="28"/>
          <w:szCs w:val="28"/>
        </w:rPr>
        <w:t>%。主要原因：落实市委市政府关于过紧日子的要求，压减一般性支出和非紧急非必需支出。</w:t>
      </w:r>
    </w:p>
    <w:p w14:paraId="4352675F">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2、“社会保障和就业支出”(类)202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825.45</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年度决算783.61万元，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94.93</w:t>
      </w:r>
      <w:r>
        <w:rPr>
          <w:rFonts w:hint="eastAsia" w:ascii="仿宋_GB2312" w:eastAsia="仿宋_GB2312"/>
          <w:sz w:val="28"/>
          <w:szCs w:val="28"/>
          <w:highlight w:val="none"/>
        </w:rPr>
        <w:t>%。其中：</w:t>
      </w:r>
    </w:p>
    <w:p w14:paraId="3062CD5F">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“行政事业单位养老支出”（款）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701.99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highlight w:val="none"/>
        </w:rPr>
        <w:t>672.91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95.86</w:t>
      </w:r>
      <w:r>
        <w:rPr>
          <w:rFonts w:hint="eastAsia" w:ascii="仿宋_GB2312" w:eastAsia="仿宋_GB2312"/>
          <w:sz w:val="28"/>
          <w:szCs w:val="28"/>
        </w:rPr>
        <w:t>%。主要原因：按照当年实际情况缴纳职工基本养老保险和职业年金。</w:t>
      </w:r>
    </w:p>
    <w:p w14:paraId="42B4AB4E">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w:t>
      </w:r>
      <w:r>
        <w:rPr>
          <w:rFonts w:hint="eastAsia" w:ascii="仿宋_GB2312" w:eastAsia="仿宋_GB2312"/>
          <w:sz w:val="28"/>
          <w:szCs w:val="28"/>
        </w:rPr>
        <w:t>抚恤</w:t>
      </w:r>
      <w:r>
        <w:rPr>
          <w:rFonts w:hint="eastAsia" w:ascii="仿宋_GB2312" w:eastAsia="仿宋_GB2312"/>
          <w:sz w:val="28"/>
          <w:szCs w:val="28"/>
          <w:lang w:val="en-US" w:eastAsia="zh-CN"/>
        </w:rPr>
        <w:t>”（款）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年度决算37.24万元，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74.48</w:t>
      </w:r>
      <w:r>
        <w:rPr>
          <w:rFonts w:hint="eastAsia" w:ascii="仿宋_GB2312" w:eastAsia="仿宋_GB2312"/>
          <w:sz w:val="28"/>
          <w:szCs w:val="28"/>
        </w:rPr>
        <w:t>%。主要原因：按照当年实际情况</w:t>
      </w:r>
      <w:r>
        <w:rPr>
          <w:rFonts w:hint="eastAsia" w:ascii="仿宋_GB2312" w:eastAsia="仿宋_GB2312"/>
          <w:sz w:val="28"/>
          <w:szCs w:val="28"/>
          <w:lang w:eastAsia="zh-CN"/>
        </w:rPr>
        <w:t>支出抚恤金</w:t>
      </w:r>
      <w:r>
        <w:rPr>
          <w:rFonts w:hint="eastAsia" w:ascii="仿宋_GB2312" w:eastAsia="仿宋_GB2312"/>
          <w:sz w:val="28"/>
          <w:szCs w:val="28"/>
          <w:lang w:val="en-US" w:eastAsia="zh-CN"/>
        </w:rPr>
        <w:t>。</w:t>
      </w:r>
    </w:p>
    <w:p w14:paraId="6533CB8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年度年初预算411.04万元，202</w:t>
      </w:r>
      <w:r>
        <w:rPr>
          <w:rFonts w:hint="eastAsia" w:ascii="仿宋_GB2312" w:eastAsia="仿宋_GB2312"/>
          <w:sz w:val="28"/>
          <w:szCs w:val="28"/>
          <w:lang w:val="en-US" w:eastAsia="zh-CN"/>
        </w:rPr>
        <w:t>4</w:t>
      </w:r>
      <w:r>
        <w:rPr>
          <w:rFonts w:hint="eastAsia" w:ascii="仿宋_GB2312" w:eastAsia="仿宋_GB2312"/>
          <w:sz w:val="28"/>
          <w:szCs w:val="28"/>
        </w:rPr>
        <w:t>年度决算411.04万元，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14:paraId="546BF81F">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411.04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411.04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3E820E7E">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024C1DB6">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本年度无此项支出。</w:t>
      </w:r>
    </w:p>
    <w:p w14:paraId="6D910782">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3085368">
      <w:pPr>
        <w:tabs>
          <w:tab w:val="center" w:pos="6979"/>
        </w:tabs>
        <w:spacing w:line="580" w:lineRule="exact"/>
        <w:ind w:firstLine="548" w:firstLineChars="196"/>
        <w:rPr>
          <w:rFonts w:hint="eastAsia" w:ascii="仿宋_GB2312" w:eastAsia="仿宋_GB2312"/>
          <w:sz w:val="28"/>
          <w:szCs w:val="28"/>
        </w:rPr>
      </w:pPr>
      <w:r>
        <w:rPr>
          <w:rFonts w:hint="eastAsia" w:ascii="仿宋_GB2312" w:eastAsia="仿宋_GB2312"/>
          <w:sz w:val="28"/>
          <w:szCs w:val="28"/>
        </w:rPr>
        <w:t>本年度无此项支出。</w:t>
      </w:r>
    </w:p>
    <w:p w14:paraId="6BFE06D9">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0D6D0914">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6889.46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249542A9">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2AEDFA38">
      <w:pPr>
        <w:spacing w:line="560" w:lineRule="exact"/>
        <w:ind w:firstLine="560" w:firstLineChars="200"/>
        <w:rPr>
          <w:rFonts w:hint="eastAsia" w:ascii="仿宋_GB2312" w:eastAsia="仿宋_GB2312"/>
          <w:sz w:val="28"/>
          <w:szCs w:val="28"/>
        </w:rPr>
      </w:pPr>
      <w:r>
        <w:rPr>
          <w:rFonts w:hint="eastAsia" w:ascii="黑体" w:eastAsia="黑体"/>
          <w:sz w:val="28"/>
          <w:szCs w:val="28"/>
        </w:rPr>
        <w:t>一、“三公”经费财政拨款决算情况</w:t>
      </w:r>
    </w:p>
    <w:p w14:paraId="1D8BAFDC">
      <w:pPr>
        <w:spacing w:line="560" w:lineRule="exact"/>
        <w:ind w:firstLine="6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年度“三公”经费财政拨款决算数0.02万元，比202</w:t>
      </w:r>
      <w:r>
        <w:rPr>
          <w:rFonts w:hint="eastAsia" w:ascii="仿宋_GB2312" w:eastAsia="仿宋_GB2312"/>
          <w:sz w:val="28"/>
          <w:szCs w:val="28"/>
          <w:lang w:val="en-US" w:eastAsia="zh-CN"/>
        </w:rPr>
        <w:t>4</w:t>
      </w:r>
      <w:r>
        <w:rPr>
          <w:rFonts w:hint="eastAsia" w:ascii="仿宋_GB2312" w:eastAsia="仿宋_GB2312"/>
          <w:sz w:val="28"/>
          <w:szCs w:val="28"/>
        </w:rPr>
        <w:t>年度“三公”经费财政拨款年初预算19.35万元减少19.33万元。其中：</w:t>
      </w:r>
    </w:p>
    <w:p w14:paraId="02646E53">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年度决算数0万元，比202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年度年初预算数16.5万元减少16.5万元。主要原因：落实市委市政府关于过紧日子的要求，压减一般性支出和非紧急非必需支出。</w:t>
      </w:r>
    </w:p>
    <w:p w14:paraId="2608995F">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年度决算数0.02万元，比202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2.85</w:t>
      </w:r>
      <w:r>
        <w:rPr>
          <w:rFonts w:hint="eastAsia" w:ascii="仿宋_GB2312" w:eastAsia="仿宋_GB2312"/>
          <w:sz w:val="28"/>
          <w:szCs w:val="28"/>
        </w:rPr>
        <w:t>万元减少2.83万元。主要原因：落实市委市政府关于过紧日子的要求，压减公务接待费用支出。202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年度公务接待费主要用于各省市地方学习交流等公务活动。公务接待</w:t>
      </w:r>
      <w:r>
        <w:rPr>
          <w:rFonts w:hint="eastAsia" w:ascii="仿宋_GB2312" w:eastAsia="仿宋_GB2312"/>
          <w:sz w:val="28"/>
          <w:szCs w:val="28"/>
          <w:lang w:val="en-US" w:eastAsia="zh-CN"/>
        </w:rPr>
        <w:t>2</w:t>
      </w:r>
      <w:r>
        <w:rPr>
          <w:rFonts w:hint="eastAsia" w:ascii="仿宋_GB2312" w:eastAsia="仿宋_GB2312"/>
          <w:sz w:val="28"/>
          <w:szCs w:val="28"/>
        </w:rPr>
        <w:t>批次，公务接待</w:t>
      </w:r>
      <w:r>
        <w:rPr>
          <w:rFonts w:hint="eastAsia" w:ascii="仿宋_GB2312" w:eastAsia="仿宋_GB2312"/>
          <w:sz w:val="28"/>
          <w:szCs w:val="28"/>
          <w:lang w:eastAsia="zh-CN"/>
        </w:rPr>
        <w:t>8</w:t>
      </w:r>
      <w:r>
        <w:rPr>
          <w:rFonts w:hint="eastAsia" w:ascii="仿宋_GB2312" w:eastAsia="仿宋_GB2312"/>
          <w:sz w:val="28"/>
          <w:szCs w:val="28"/>
        </w:rPr>
        <w:t>人次。</w:t>
      </w:r>
    </w:p>
    <w:p w14:paraId="22920A39">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w:t>
      </w:r>
    </w:p>
    <w:p w14:paraId="480A21E1">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27C9EE79">
      <w:pPr>
        <w:ind w:firstLine="537" w:firstLineChars="192"/>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支出合计396.50万元，比上年减少</w:t>
      </w:r>
      <w:r>
        <w:rPr>
          <w:rFonts w:hint="eastAsia" w:ascii="仿宋_GB2312" w:eastAsia="仿宋_GB2312"/>
          <w:sz w:val="28"/>
          <w:szCs w:val="28"/>
          <w:lang w:val="en-US" w:eastAsia="zh-CN"/>
        </w:rPr>
        <w:t>17.19</w:t>
      </w:r>
      <w:r>
        <w:rPr>
          <w:rFonts w:hint="eastAsia" w:ascii="仿宋_GB2312" w:eastAsia="仿宋_GB2312"/>
          <w:sz w:val="28"/>
          <w:szCs w:val="28"/>
        </w:rPr>
        <w:t>万元，减少原因：落实市委市政府关于过紧日子的要求，压减日常公用经费支出。</w:t>
      </w:r>
    </w:p>
    <w:p w14:paraId="3A296F92">
      <w:pPr>
        <w:ind w:left="540"/>
        <w:rPr>
          <w:rFonts w:ascii="黑体" w:eastAsia="黑体"/>
          <w:sz w:val="28"/>
          <w:szCs w:val="28"/>
        </w:rPr>
      </w:pPr>
      <w:r>
        <w:rPr>
          <w:rFonts w:hint="eastAsia" w:ascii="黑体" w:eastAsia="黑体"/>
          <w:sz w:val="28"/>
          <w:szCs w:val="28"/>
        </w:rPr>
        <w:t>三、政府采购支出情况</w:t>
      </w:r>
    </w:p>
    <w:p w14:paraId="1517CFF6">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1233.68</w:t>
      </w:r>
      <w:r>
        <w:rPr>
          <w:rFonts w:hint="eastAsia" w:ascii="仿宋_GB2312" w:eastAsia="仿宋_GB2312"/>
          <w:sz w:val="28"/>
          <w:szCs w:val="28"/>
        </w:rPr>
        <w:t>万元，其中：政府采购货物支出</w:t>
      </w:r>
      <w:r>
        <w:rPr>
          <w:rFonts w:ascii="仿宋_GB2312" w:eastAsia="仿宋_GB2312"/>
          <w:sz w:val="28"/>
          <w:szCs w:val="28"/>
        </w:rPr>
        <w:t>6.05</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1227.63</w:t>
      </w:r>
      <w:r>
        <w:rPr>
          <w:rFonts w:hint="eastAsia" w:ascii="仿宋_GB2312" w:eastAsia="仿宋_GB2312"/>
          <w:sz w:val="28"/>
          <w:szCs w:val="28"/>
        </w:rPr>
        <w:t>万元。授予中小企业合同金额</w:t>
      </w:r>
      <w:r>
        <w:rPr>
          <w:rFonts w:ascii="仿宋_GB2312" w:eastAsia="仿宋_GB2312"/>
          <w:sz w:val="28"/>
          <w:szCs w:val="28"/>
        </w:rPr>
        <w:t>993.68</w:t>
      </w:r>
      <w:r>
        <w:rPr>
          <w:rFonts w:hint="eastAsia" w:ascii="仿宋_GB2312" w:eastAsia="仿宋_GB2312"/>
          <w:sz w:val="28"/>
          <w:szCs w:val="28"/>
        </w:rPr>
        <w:t>万元，占政府采购支出总额的</w:t>
      </w:r>
      <w:r>
        <w:rPr>
          <w:rFonts w:hint="eastAsia" w:ascii="仿宋_GB2312" w:eastAsia="仿宋_GB2312"/>
          <w:sz w:val="28"/>
          <w:szCs w:val="28"/>
          <w:lang w:eastAsia="zh-CN"/>
        </w:rPr>
        <w:t>80.55</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348.57万元，占政府采购支出总额的</w:t>
      </w:r>
      <w:r>
        <w:rPr>
          <w:rFonts w:ascii="仿宋_GB2312" w:eastAsia="仿宋_GB2312"/>
          <w:sz w:val="28"/>
          <w:szCs w:val="28"/>
        </w:rPr>
        <w:t>28.25</w:t>
      </w:r>
      <w:r>
        <w:rPr>
          <w:rFonts w:hint="eastAsia" w:ascii="仿宋_GB2312" w:eastAsia="仿宋_GB2312"/>
          <w:sz w:val="28"/>
          <w:szCs w:val="28"/>
        </w:rPr>
        <w:t>%。</w:t>
      </w:r>
    </w:p>
    <w:p w14:paraId="115A4EAD">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01EED7AF">
      <w:pPr>
        <w:ind w:firstLine="560" w:firstLineChars="200"/>
        <w:rPr>
          <w:rFonts w:hint="eastAsia" w:ascii="仿宋_GB2312" w:eastAsia="仿宋_GB2312"/>
          <w:sz w:val="28"/>
          <w:szCs w:val="28"/>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rPr>
        <w:t>北京市信访办公室</w:t>
      </w:r>
      <w:r>
        <w:rPr>
          <w:rFonts w:hint="eastAsia" w:ascii="仿宋_GB2312" w:eastAsia="仿宋_GB2312"/>
          <w:sz w:val="28"/>
          <w:szCs w:val="28"/>
          <w:lang w:eastAsia="zh-CN"/>
        </w:rPr>
        <w:t>部门共有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5</w:t>
      </w:r>
      <w:r>
        <w:rPr>
          <w:rFonts w:hint="eastAsia" w:ascii="仿宋_GB2312" w:eastAsia="仿宋_GB2312"/>
          <w:sz w:val="28"/>
          <w:szCs w:val="28"/>
        </w:rPr>
        <w:t>台（套）。</w:t>
      </w:r>
    </w:p>
    <w:p w14:paraId="35BA1268">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7FA66A0">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政府购买服务决算1743.95</w:t>
      </w:r>
      <w:r>
        <w:rPr>
          <w:rFonts w:hint="eastAsia" w:ascii="仿宋_GB2312" w:eastAsia="仿宋_GB2312"/>
          <w:sz w:val="28"/>
          <w:szCs w:val="28"/>
        </w:rPr>
        <w:t>万元。</w:t>
      </w:r>
    </w:p>
    <w:p w14:paraId="731EA1CE">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00535B3">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35997E77">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9582269">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w:t>
      </w:r>
      <w:bookmarkStart w:id="1" w:name="_GoBack"/>
      <w:bookmarkEnd w:id="1"/>
      <w:r>
        <w:rPr>
          <w:rFonts w:hint="eastAsia" w:ascii="仿宋_GB2312" w:hAnsi="宋体" w:eastAsia="仿宋_GB2312"/>
          <w:sz w:val="28"/>
          <w:szCs w:val="28"/>
        </w:rPr>
        <w:t>购置支出（含车辆购置税、牌照费）及单位按规定保留的公务用车燃料费、维修费、过路过桥费、保险费、安全奖励费等支出；公务接待费指单位按规定开支的各类公务接待（含外宾接待）支出。</w:t>
      </w:r>
    </w:p>
    <w:p w14:paraId="4109C557">
      <w:pPr>
        <w:ind w:firstLine="560" w:firstLineChars="200"/>
        <w:rPr>
          <w:rFonts w:hint="eastAsia" w:ascii="仿宋_GB2312" w:hAnsi="宋体" w:eastAsia="仿宋_GB2312"/>
          <w:sz w:val="28"/>
          <w:szCs w:val="28"/>
        </w:rPr>
      </w:pPr>
      <w:r>
        <w:rPr>
          <w:rFonts w:hint="eastAsia" w:ascii="仿宋_GB2312" w:hAnsi="宋体" w:eastAsia="仿宋_GB2312"/>
          <w:sz w:val="28"/>
          <w:szCs w:val="28"/>
        </w:rPr>
        <w:t>4.机关运行经费：</w:t>
      </w:r>
      <w:r>
        <w:rPr>
          <w:rFonts w:hint="eastAsia" w:ascii="仿宋_GB2312" w:hAnsi="宋体" w:eastAsia="仿宋_GB2312"/>
          <w:sz w:val="28"/>
          <w:szCs w:val="28"/>
        </w:rPr>
        <w:t>指为保障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3021E903">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B380B4B">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42CAD686">
      <w:pPr>
        <w:ind w:firstLine="420" w:firstLineChars="150"/>
        <w:rPr>
          <w:rFonts w:hint="eastAsia" w:ascii="仿宋_GB2312" w:eastAsia="仿宋_GB2312"/>
          <w:sz w:val="28"/>
          <w:szCs w:val="28"/>
        </w:rPr>
      </w:pPr>
      <w:r>
        <w:rPr>
          <w:rFonts w:hint="eastAsia" w:ascii="仿宋_GB2312" w:eastAsia="仿宋_GB2312"/>
          <w:sz w:val="28"/>
          <w:szCs w:val="28"/>
        </w:rPr>
        <w:t>7.一般公共服务支出（类）</w:t>
      </w:r>
      <w:r>
        <w:rPr>
          <w:rFonts w:hint="eastAsia" w:ascii="仿宋_GB2312" w:eastAsia="仿宋_GB2312"/>
          <w:sz w:val="28"/>
          <w:szCs w:val="28"/>
          <w:lang w:val="en-US" w:eastAsia="zh-CN"/>
        </w:rPr>
        <w:t>信访事务</w:t>
      </w:r>
      <w:r>
        <w:rPr>
          <w:rFonts w:hint="eastAsia" w:ascii="仿宋_GB2312" w:eastAsia="仿宋_GB2312"/>
          <w:sz w:val="28"/>
          <w:szCs w:val="28"/>
        </w:rPr>
        <w:t>（款）行政运行（项）：反映行政单位(包括实行公务员管理的事业单位)的基本支出。</w:t>
      </w:r>
    </w:p>
    <w:p w14:paraId="796325E3">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.一般公共服务支出（类）</w:t>
      </w:r>
      <w:r>
        <w:rPr>
          <w:rFonts w:hint="eastAsia" w:ascii="仿宋_GB2312" w:eastAsia="仿宋_GB2312"/>
          <w:sz w:val="28"/>
          <w:szCs w:val="28"/>
          <w:lang w:val="en-US" w:eastAsia="zh-CN"/>
        </w:rPr>
        <w:t>信访事务</w:t>
      </w:r>
      <w:r>
        <w:rPr>
          <w:rFonts w:hint="eastAsia" w:ascii="仿宋_GB2312" w:eastAsia="仿宋_GB2312"/>
          <w:sz w:val="28"/>
          <w:szCs w:val="28"/>
        </w:rPr>
        <w:t>（款）机关服务（项）：反映为行政单位(包括实行公务员管理的事业单位)提供后勤服务的各类后勤服务中心、医务室等附属事业单位的支出。</w:t>
      </w:r>
    </w:p>
    <w:p w14:paraId="0FF2C72F">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rPr>
        <w:t>.一般公共服务支出（类）</w:t>
      </w:r>
      <w:r>
        <w:rPr>
          <w:rFonts w:hint="eastAsia" w:ascii="仿宋_GB2312" w:eastAsia="仿宋_GB2312"/>
          <w:sz w:val="28"/>
          <w:szCs w:val="28"/>
          <w:lang w:val="en-US" w:eastAsia="zh-CN"/>
        </w:rPr>
        <w:t>信访事务</w:t>
      </w:r>
      <w:r>
        <w:rPr>
          <w:rFonts w:hint="eastAsia" w:ascii="仿宋_GB2312" w:eastAsia="仿宋_GB2312"/>
          <w:sz w:val="28"/>
          <w:szCs w:val="28"/>
        </w:rPr>
        <w:t>（款）信访业务（项）：反映各级政府用于接待群众来信来访方面的支出。</w:t>
      </w:r>
    </w:p>
    <w:p w14:paraId="14C538F3">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10.教育支出</w:t>
      </w:r>
      <w:r>
        <w:rPr>
          <w:rFonts w:hint="eastAsia" w:ascii="仿宋_GB2312" w:eastAsia="仿宋_GB2312"/>
          <w:sz w:val="28"/>
          <w:szCs w:val="28"/>
        </w:rPr>
        <w:t>（类）进修及培训（款）培训支出（项）</w:t>
      </w:r>
      <w:r>
        <w:rPr>
          <w:rFonts w:hint="eastAsia" w:ascii="仿宋_GB2312" w:eastAsia="仿宋_GB2312"/>
          <w:sz w:val="28"/>
          <w:szCs w:val="28"/>
          <w:lang w:val="en-US" w:eastAsia="zh-CN"/>
        </w:rPr>
        <w:t>:反映各部门安排的用于培训的支出。</w:t>
      </w:r>
    </w:p>
    <w:p w14:paraId="3AF4379B">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11.社会保障和就业支出</w:t>
      </w:r>
      <w:r>
        <w:rPr>
          <w:rFonts w:hint="eastAsia" w:ascii="仿宋_GB2312" w:eastAsia="仿宋_GB2312"/>
          <w:sz w:val="28"/>
          <w:szCs w:val="28"/>
        </w:rPr>
        <w:t>（类）行政事业单位养老支出（款）行政单位离退休（项）</w:t>
      </w:r>
      <w:r>
        <w:rPr>
          <w:rFonts w:hint="eastAsia" w:ascii="仿宋_GB2312" w:eastAsia="仿宋_GB2312"/>
          <w:sz w:val="28"/>
          <w:szCs w:val="28"/>
          <w:lang w:val="en-US" w:eastAsia="zh-CN"/>
        </w:rPr>
        <w:t>:反映行政单位(包括实行公务员管理的事业单位)开支的离退休经费。</w:t>
      </w:r>
    </w:p>
    <w:p w14:paraId="4609F8B7">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12.社会保障和就业支出</w:t>
      </w:r>
      <w:r>
        <w:rPr>
          <w:rFonts w:hint="eastAsia" w:ascii="仿宋_GB2312" w:eastAsia="仿宋_GB2312"/>
          <w:sz w:val="28"/>
          <w:szCs w:val="28"/>
        </w:rPr>
        <w:t>（类）行政事业单位养老支出（款）机关事业单位基本养老保险缴费支出（项）</w:t>
      </w:r>
      <w:r>
        <w:rPr>
          <w:rFonts w:hint="eastAsia" w:ascii="仿宋_GB2312" w:eastAsia="仿宋_GB2312"/>
          <w:sz w:val="28"/>
          <w:szCs w:val="28"/>
          <w:lang w:val="en-US" w:eastAsia="zh-CN"/>
        </w:rPr>
        <w:t>:反映机关事业单位实施养老保险制度由单位缴纳的基本养老保险费支出。</w:t>
      </w:r>
    </w:p>
    <w:p w14:paraId="6467DDE5">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13.社会保障和就业支出</w:t>
      </w:r>
      <w:r>
        <w:rPr>
          <w:rFonts w:hint="eastAsia" w:ascii="仿宋_GB2312" w:eastAsia="仿宋_GB2312"/>
          <w:sz w:val="28"/>
          <w:szCs w:val="28"/>
        </w:rPr>
        <w:t>（类）行政事业单位养老支出（款）机关事业单位职业年金缴费支出（项）</w:t>
      </w:r>
      <w:r>
        <w:rPr>
          <w:rFonts w:hint="eastAsia" w:ascii="仿宋_GB2312" w:eastAsia="仿宋_GB2312"/>
          <w:sz w:val="28"/>
          <w:szCs w:val="28"/>
          <w:lang w:val="en-US" w:eastAsia="zh-CN"/>
        </w:rPr>
        <w:t>:反映机关事业单位实施养老保险制度由单位实际缴纳的职业年金支出(含职业年金补记支出)。</w:t>
      </w:r>
    </w:p>
    <w:p w14:paraId="52931824">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14.社会保障和就业支出</w:t>
      </w:r>
      <w:r>
        <w:rPr>
          <w:rFonts w:hint="eastAsia" w:ascii="仿宋_GB2312" w:eastAsia="仿宋_GB2312"/>
          <w:sz w:val="28"/>
          <w:szCs w:val="28"/>
        </w:rPr>
        <w:t>（类）</w:t>
      </w:r>
      <w:r>
        <w:rPr>
          <w:rFonts w:hint="eastAsia" w:ascii="仿宋_GB2312" w:eastAsia="仿宋_GB2312"/>
          <w:sz w:val="28"/>
          <w:szCs w:val="28"/>
          <w:lang w:val="en-US" w:eastAsia="zh-CN"/>
        </w:rPr>
        <w:t>抚恤</w:t>
      </w:r>
      <w:r>
        <w:rPr>
          <w:rFonts w:hint="eastAsia" w:ascii="仿宋_GB2312" w:eastAsia="仿宋_GB2312"/>
          <w:sz w:val="28"/>
          <w:szCs w:val="28"/>
        </w:rPr>
        <w:t>（款）死亡抚恤（项）</w:t>
      </w:r>
      <w:r>
        <w:rPr>
          <w:rFonts w:hint="eastAsia" w:ascii="仿宋_GB2312" w:eastAsia="仿宋_GB2312"/>
          <w:sz w:val="28"/>
          <w:szCs w:val="28"/>
          <w:lang w:val="en-US" w:eastAsia="zh-CN"/>
        </w:rPr>
        <w:t>:反映按规定用于烈士和牺牲、病故人员家属的一次性和定期抚恤金、丧葬补助费以及烈士褒扬金。</w:t>
      </w:r>
    </w:p>
    <w:p w14:paraId="698EDB15">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15.社会保障和就业支出</w:t>
      </w:r>
      <w:r>
        <w:rPr>
          <w:rFonts w:hint="eastAsia" w:ascii="仿宋_GB2312" w:eastAsia="仿宋_GB2312"/>
          <w:sz w:val="28"/>
          <w:szCs w:val="28"/>
        </w:rPr>
        <w:t>（类）</w:t>
      </w:r>
      <w:r>
        <w:rPr>
          <w:rFonts w:hint="eastAsia" w:ascii="仿宋_GB2312" w:eastAsia="仿宋_GB2312"/>
          <w:sz w:val="28"/>
          <w:szCs w:val="28"/>
          <w:lang w:val="en-US" w:eastAsia="zh-CN"/>
        </w:rPr>
        <w:t>其他社会保障和就业支出</w:t>
      </w:r>
      <w:r>
        <w:rPr>
          <w:rFonts w:hint="eastAsia" w:ascii="仿宋_GB2312" w:eastAsia="仿宋_GB2312"/>
          <w:sz w:val="28"/>
          <w:szCs w:val="28"/>
        </w:rPr>
        <w:t>（款）其他社会保障和就业支出（项）</w:t>
      </w:r>
      <w:r>
        <w:rPr>
          <w:rFonts w:hint="eastAsia" w:ascii="仿宋_GB2312" w:eastAsia="仿宋_GB2312"/>
          <w:sz w:val="28"/>
          <w:szCs w:val="28"/>
          <w:lang w:val="en-US" w:eastAsia="zh-CN"/>
        </w:rPr>
        <w:t>:反映除上述项目以外其他用于社会保障和就业方面的支出。</w:t>
      </w:r>
    </w:p>
    <w:p w14:paraId="7CA2D347">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16.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14:paraId="241935AE">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17.卫生健康支出（类）行政事业单位医疗（款）事业单位医疗（项）:反映财政部门安排的事业单位基本医疗保险缴费经费，未参加医疗保险的事业单位的公费医疗经费，按国家规定享受离休人员待遇的医疗经费。</w:t>
      </w:r>
    </w:p>
    <w:p w14:paraId="3F752DFF">
      <w:pPr>
        <w:rPr>
          <w:rFonts w:hint="eastAsia"/>
          <w:lang w:val="en-US" w:eastAsia="zh-CN"/>
        </w:rPr>
      </w:pPr>
    </w:p>
    <w:p w14:paraId="35353737">
      <w:pPr>
        <w:ind w:firstLine="420" w:firstLineChars="150"/>
        <w:rPr>
          <w:rFonts w:hint="eastAsia" w:ascii="仿宋_GB2312" w:eastAsia="仿宋_GB2312"/>
          <w:sz w:val="28"/>
          <w:szCs w:val="28"/>
          <w:lang w:val="en-US" w:eastAsia="zh-CN"/>
        </w:rPr>
      </w:pPr>
    </w:p>
    <w:p w14:paraId="05FDFE04">
      <w:pPr>
        <w:pStyle w:val="2"/>
      </w:pPr>
    </w:p>
    <w:p w14:paraId="23F007FA">
      <w:pPr>
        <w:rPr>
          <w:rFonts w:ascii="仿宋_GB2312" w:eastAsia="仿宋_GB2312"/>
          <w:b/>
          <w:color w:val="000000"/>
          <w:spacing w:val="-2"/>
          <w:sz w:val="32"/>
          <w:szCs w:val="32"/>
        </w:rPr>
      </w:pPr>
    </w:p>
    <w:p w14:paraId="0AAB20CD">
      <w:pPr>
        <w:ind w:firstLine="640" w:firstLineChars="200"/>
        <w:jc w:val="center"/>
        <w:rPr>
          <w:rFonts w:ascii="黑体" w:eastAsia="黑体"/>
          <w:sz w:val="32"/>
          <w:szCs w:val="32"/>
        </w:rPr>
      </w:pPr>
    </w:p>
    <w:p w14:paraId="537A9A51">
      <w:pPr>
        <w:ind w:firstLine="640" w:firstLineChars="200"/>
        <w:jc w:val="center"/>
        <w:rPr>
          <w:rFonts w:ascii="黑体" w:eastAsia="黑体"/>
          <w:sz w:val="32"/>
          <w:szCs w:val="32"/>
        </w:rPr>
      </w:pPr>
    </w:p>
    <w:p w14:paraId="6842001A">
      <w:pPr>
        <w:ind w:firstLine="640" w:firstLineChars="200"/>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14:paraId="29AACDCA">
      <w:pPr>
        <w:ind w:firstLine="560" w:firstLineChars="200"/>
        <w:rPr>
          <w:rFonts w:ascii="黑体" w:eastAsia="黑体"/>
          <w:sz w:val="28"/>
          <w:szCs w:val="28"/>
          <w:highlight w:val="yellow"/>
        </w:rPr>
      </w:pPr>
    </w:p>
    <w:p w14:paraId="0D8A2F34">
      <w:pPr>
        <w:ind w:firstLine="560" w:firstLineChars="200"/>
        <w:rPr>
          <w:rFonts w:ascii="黑体" w:eastAsia="黑体"/>
          <w:sz w:val="28"/>
          <w:szCs w:val="28"/>
        </w:rPr>
      </w:pPr>
      <w:r>
        <w:rPr>
          <w:rFonts w:hint="eastAsia" w:ascii="黑体" w:eastAsia="黑体"/>
          <w:sz w:val="28"/>
          <w:szCs w:val="28"/>
        </w:rPr>
        <w:t>一、部门整体绩效评价报告（详见附件）</w:t>
      </w:r>
    </w:p>
    <w:p w14:paraId="4F85B7C0">
      <w:pPr>
        <w:ind w:firstLine="560" w:firstLineChars="200"/>
        <w:rPr>
          <w:rFonts w:ascii="黑体" w:eastAsia="黑体"/>
          <w:sz w:val="28"/>
          <w:szCs w:val="28"/>
        </w:rPr>
      </w:pPr>
      <w:r>
        <w:rPr>
          <w:rFonts w:hint="eastAsia" w:ascii="黑体" w:eastAsia="黑体"/>
          <w:sz w:val="28"/>
          <w:szCs w:val="28"/>
        </w:rPr>
        <w:t>二、项目支出绩效评价报告（详见附件）</w:t>
      </w:r>
    </w:p>
    <w:p w14:paraId="2C06EC02">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7B8F26EE">
      <w:pPr>
        <w:pStyle w:val="2"/>
        <w:ind w:firstLine="560"/>
      </w:pPr>
    </w:p>
    <w:p w14:paraId="554EE949"/>
    <w:p w14:paraId="1865B3BE">
      <w:pPr>
        <w:pStyle w:val="2"/>
      </w:pPr>
    </w:p>
    <w:p w14:paraId="33024DD5"/>
    <w:p w14:paraId="26E76726"/>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06F1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33F3FD1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8693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4F5B395C">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FC00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14CCD1DF">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170503"/>
    <w:rsid w:val="01216608"/>
    <w:rsid w:val="019422A6"/>
    <w:rsid w:val="028247F4"/>
    <w:rsid w:val="02B047DC"/>
    <w:rsid w:val="02F120AB"/>
    <w:rsid w:val="0300719D"/>
    <w:rsid w:val="038D15EA"/>
    <w:rsid w:val="04C3537C"/>
    <w:rsid w:val="04CE717F"/>
    <w:rsid w:val="04D330E5"/>
    <w:rsid w:val="05DC1ADB"/>
    <w:rsid w:val="06B87FF5"/>
    <w:rsid w:val="07811FC5"/>
    <w:rsid w:val="079004AC"/>
    <w:rsid w:val="0A651F50"/>
    <w:rsid w:val="0AF168EA"/>
    <w:rsid w:val="0AF90A3A"/>
    <w:rsid w:val="0B0E5C35"/>
    <w:rsid w:val="0BA148CA"/>
    <w:rsid w:val="0C1165C4"/>
    <w:rsid w:val="0C582F75"/>
    <w:rsid w:val="0C925C1C"/>
    <w:rsid w:val="0C980234"/>
    <w:rsid w:val="0C9F639C"/>
    <w:rsid w:val="0CDE6E2F"/>
    <w:rsid w:val="0D2941EA"/>
    <w:rsid w:val="0DB422CB"/>
    <w:rsid w:val="0DBC080D"/>
    <w:rsid w:val="0DD136FE"/>
    <w:rsid w:val="0E4C7D17"/>
    <w:rsid w:val="0E530FB1"/>
    <w:rsid w:val="0E7A3808"/>
    <w:rsid w:val="0EB143A0"/>
    <w:rsid w:val="0F7B0251"/>
    <w:rsid w:val="0F8E2C57"/>
    <w:rsid w:val="104601B9"/>
    <w:rsid w:val="1059665E"/>
    <w:rsid w:val="105C1E81"/>
    <w:rsid w:val="10AC13BA"/>
    <w:rsid w:val="11243A91"/>
    <w:rsid w:val="112B0DC3"/>
    <w:rsid w:val="1138782A"/>
    <w:rsid w:val="11520903"/>
    <w:rsid w:val="11704A36"/>
    <w:rsid w:val="13676A08"/>
    <w:rsid w:val="141E3B8E"/>
    <w:rsid w:val="14202ED3"/>
    <w:rsid w:val="142676D5"/>
    <w:rsid w:val="145A6C1B"/>
    <w:rsid w:val="146C6BF0"/>
    <w:rsid w:val="155C53FF"/>
    <w:rsid w:val="156809AC"/>
    <w:rsid w:val="1593680D"/>
    <w:rsid w:val="1658169C"/>
    <w:rsid w:val="167A2FF9"/>
    <w:rsid w:val="17CB1CBB"/>
    <w:rsid w:val="187118B2"/>
    <w:rsid w:val="18B03138"/>
    <w:rsid w:val="18C64FE3"/>
    <w:rsid w:val="195A6195"/>
    <w:rsid w:val="19742420"/>
    <w:rsid w:val="1A7B1DFD"/>
    <w:rsid w:val="1AEC0734"/>
    <w:rsid w:val="1B065DB7"/>
    <w:rsid w:val="1B6F42B6"/>
    <w:rsid w:val="1BE84E5C"/>
    <w:rsid w:val="1CD82327"/>
    <w:rsid w:val="1D5814CF"/>
    <w:rsid w:val="1DEF20B0"/>
    <w:rsid w:val="1EB839D8"/>
    <w:rsid w:val="1EC0051E"/>
    <w:rsid w:val="1F8D6FBE"/>
    <w:rsid w:val="2022358B"/>
    <w:rsid w:val="20C654EE"/>
    <w:rsid w:val="214243FA"/>
    <w:rsid w:val="217141FE"/>
    <w:rsid w:val="21AD613C"/>
    <w:rsid w:val="23735D67"/>
    <w:rsid w:val="23A22699"/>
    <w:rsid w:val="23CB6DD2"/>
    <w:rsid w:val="257A14F5"/>
    <w:rsid w:val="26866E0B"/>
    <w:rsid w:val="27196C26"/>
    <w:rsid w:val="274A63FE"/>
    <w:rsid w:val="27EA37A1"/>
    <w:rsid w:val="290B4045"/>
    <w:rsid w:val="292F6A41"/>
    <w:rsid w:val="293A4529"/>
    <w:rsid w:val="29433847"/>
    <w:rsid w:val="298D5F67"/>
    <w:rsid w:val="299148DD"/>
    <w:rsid w:val="29EF086F"/>
    <w:rsid w:val="2B1C2A15"/>
    <w:rsid w:val="2B451004"/>
    <w:rsid w:val="2C2713C3"/>
    <w:rsid w:val="2C3F447F"/>
    <w:rsid w:val="2D775E83"/>
    <w:rsid w:val="2EF43E97"/>
    <w:rsid w:val="2EFFE297"/>
    <w:rsid w:val="2FDC5F25"/>
    <w:rsid w:val="301437CA"/>
    <w:rsid w:val="30271E54"/>
    <w:rsid w:val="316F5C83"/>
    <w:rsid w:val="31F5706F"/>
    <w:rsid w:val="32AD722B"/>
    <w:rsid w:val="32C3352C"/>
    <w:rsid w:val="33422D96"/>
    <w:rsid w:val="33635F04"/>
    <w:rsid w:val="34561E5C"/>
    <w:rsid w:val="349D1F0A"/>
    <w:rsid w:val="34DD0473"/>
    <w:rsid w:val="3505344D"/>
    <w:rsid w:val="35645510"/>
    <w:rsid w:val="357716E7"/>
    <w:rsid w:val="35CA5CBB"/>
    <w:rsid w:val="3684230E"/>
    <w:rsid w:val="369B3199"/>
    <w:rsid w:val="370C5C6E"/>
    <w:rsid w:val="37B07978"/>
    <w:rsid w:val="38AA19A3"/>
    <w:rsid w:val="38AE3493"/>
    <w:rsid w:val="38B65FD1"/>
    <w:rsid w:val="38BE13DB"/>
    <w:rsid w:val="38FA3EAE"/>
    <w:rsid w:val="390F0F96"/>
    <w:rsid w:val="396F2AD2"/>
    <w:rsid w:val="399E75A4"/>
    <w:rsid w:val="3A0777FB"/>
    <w:rsid w:val="3BCA11E2"/>
    <w:rsid w:val="3BDC7921"/>
    <w:rsid w:val="3C684897"/>
    <w:rsid w:val="3CC221DF"/>
    <w:rsid w:val="3DCA4E84"/>
    <w:rsid w:val="3E045095"/>
    <w:rsid w:val="3E81351F"/>
    <w:rsid w:val="3E9B5C40"/>
    <w:rsid w:val="3FD05DB3"/>
    <w:rsid w:val="40BC79FD"/>
    <w:rsid w:val="40CF4863"/>
    <w:rsid w:val="42134546"/>
    <w:rsid w:val="433E495C"/>
    <w:rsid w:val="43C42299"/>
    <w:rsid w:val="4423437A"/>
    <w:rsid w:val="446C706E"/>
    <w:rsid w:val="45AF3CAC"/>
    <w:rsid w:val="45B3679A"/>
    <w:rsid w:val="45D73C8B"/>
    <w:rsid w:val="46297459"/>
    <w:rsid w:val="46700EE6"/>
    <w:rsid w:val="46933EA7"/>
    <w:rsid w:val="46C754C0"/>
    <w:rsid w:val="46D509FF"/>
    <w:rsid w:val="477428EF"/>
    <w:rsid w:val="47BD7A1D"/>
    <w:rsid w:val="47E54182"/>
    <w:rsid w:val="48000FC1"/>
    <w:rsid w:val="480B51A1"/>
    <w:rsid w:val="484D0353"/>
    <w:rsid w:val="489F2FD7"/>
    <w:rsid w:val="48A46859"/>
    <w:rsid w:val="48A50E57"/>
    <w:rsid w:val="48AD2CB8"/>
    <w:rsid w:val="49C8030C"/>
    <w:rsid w:val="4A8322CC"/>
    <w:rsid w:val="4AAD0761"/>
    <w:rsid w:val="4AC27CB3"/>
    <w:rsid w:val="4B331D3A"/>
    <w:rsid w:val="4BF72BEF"/>
    <w:rsid w:val="4CBD72E7"/>
    <w:rsid w:val="4D290B44"/>
    <w:rsid w:val="4D666285"/>
    <w:rsid w:val="4E6D2B88"/>
    <w:rsid w:val="4EF474AD"/>
    <w:rsid w:val="4F242944"/>
    <w:rsid w:val="4FA90297"/>
    <w:rsid w:val="4FC41A43"/>
    <w:rsid w:val="4FEE65F2"/>
    <w:rsid w:val="500672AA"/>
    <w:rsid w:val="507059B0"/>
    <w:rsid w:val="509448C9"/>
    <w:rsid w:val="50E15936"/>
    <w:rsid w:val="5151508A"/>
    <w:rsid w:val="515F38F2"/>
    <w:rsid w:val="51870AAC"/>
    <w:rsid w:val="51C5066C"/>
    <w:rsid w:val="51DB3C59"/>
    <w:rsid w:val="52300352"/>
    <w:rsid w:val="52441D1F"/>
    <w:rsid w:val="525D3405"/>
    <w:rsid w:val="52C50BEC"/>
    <w:rsid w:val="52D5540F"/>
    <w:rsid w:val="52DB1F2D"/>
    <w:rsid w:val="53590226"/>
    <w:rsid w:val="54BA0D0B"/>
    <w:rsid w:val="54EA0F16"/>
    <w:rsid w:val="550C0952"/>
    <w:rsid w:val="55220438"/>
    <w:rsid w:val="55762E42"/>
    <w:rsid w:val="565D5CAB"/>
    <w:rsid w:val="56852F0D"/>
    <w:rsid w:val="574122AF"/>
    <w:rsid w:val="577675F9"/>
    <w:rsid w:val="57835EA0"/>
    <w:rsid w:val="57935BBE"/>
    <w:rsid w:val="57A7B272"/>
    <w:rsid w:val="57CB5604"/>
    <w:rsid w:val="58470068"/>
    <w:rsid w:val="58747CAC"/>
    <w:rsid w:val="58B259CE"/>
    <w:rsid w:val="58DB24F3"/>
    <w:rsid w:val="593634B3"/>
    <w:rsid w:val="59445DF4"/>
    <w:rsid w:val="59EA7D12"/>
    <w:rsid w:val="5A01185B"/>
    <w:rsid w:val="5A1720F9"/>
    <w:rsid w:val="5A247775"/>
    <w:rsid w:val="5A7E6767"/>
    <w:rsid w:val="5A812716"/>
    <w:rsid w:val="5B9C37C2"/>
    <w:rsid w:val="5BA7C654"/>
    <w:rsid w:val="5BF92635"/>
    <w:rsid w:val="5C2959FF"/>
    <w:rsid w:val="5CE85C60"/>
    <w:rsid w:val="5DE6248C"/>
    <w:rsid w:val="5E1229F9"/>
    <w:rsid w:val="5E372FD6"/>
    <w:rsid w:val="5F567271"/>
    <w:rsid w:val="5F610B8F"/>
    <w:rsid w:val="60735762"/>
    <w:rsid w:val="60A54109"/>
    <w:rsid w:val="61657B33"/>
    <w:rsid w:val="61D01CDF"/>
    <w:rsid w:val="620870B9"/>
    <w:rsid w:val="628E0DF0"/>
    <w:rsid w:val="629672B5"/>
    <w:rsid w:val="62B962F3"/>
    <w:rsid w:val="62FB0977"/>
    <w:rsid w:val="63070BFB"/>
    <w:rsid w:val="634105A5"/>
    <w:rsid w:val="63591778"/>
    <w:rsid w:val="649B7C27"/>
    <w:rsid w:val="64C0607C"/>
    <w:rsid w:val="650D5CA0"/>
    <w:rsid w:val="65246DE7"/>
    <w:rsid w:val="656E2FF8"/>
    <w:rsid w:val="65756C86"/>
    <w:rsid w:val="66235E50"/>
    <w:rsid w:val="67490886"/>
    <w:rsid w:val="674D385B"/>
    <w:rsid w:val="676F09E1"/>
    <w:rsid w:val="67D56A90"/>
    <w:rsid w:val="67E301E5"/>
    <w:rsid w:val="680D54D1"/>
    <w:rsid w:val="683C0A28"/>
    <w:rsid w:val="68506F23"/>
    <w:rsid w:val="68A13380"/>
    <w:rsid w:val="68A46AC8"/>
    <w:rsid w:val="68E36170"/>
    <w:rsid w:val="6A0523DD"/>
    <w:rsid w:val="6A1C12FE"/>
    <w:rsid w:val="6A4620F8"/>
    <w:rsid w:val="6BAE4840"/>
    <w:rsid w:val="6BC64533"/>
    <w:rsid w:val="6D5C33EA"/>
    <w:rsid w:val="6D654446"/>
    <w:rsid w:val="6D6D7BDE"/>
    <w:rsid w:val="6D7823DF"/>
    <w:rsid w:val="6D992BE2"/>
    <w:rsid w:val="707935C0"/>
    <w:rsid w:val="70BE01D5"/>
    <w:rsid w:val="711F084C"/>
    <w:rsid w:val="71402897"/>
    <w:rsid w:val="723801F2"/>
    <w:rsid w:val="729055BB"/>
    <w:rsid w:val="72BF614B"/>
    <w:rsid w:val="72EA5653"/>
    <w:rsid w:val="73070A5C"/>
    <w:rsid w:val="73281CE3"/>
    <w:rsid w:val="733F60EE"/>
    <w:rsid w:val="73624258"/>
    <w:rsid w:val="7487654A"/>
    <w:rsid w:val="76856E9A"/>
    <w:rsid w:val="77234831"/>
    <w:rsid w:val="774E6E46"/>
    <w:rsid w:val="77E93727"/>
    <w:rsid w:val="781E0F73"/>
    <w:rsid w:val="798524E4"/>
    <w:rsid w:val="799256CE"/>
    <w:rsid w:val="7A464E47"/>
    <w:rsid w:val="7A7C73FD"/>
    <w:rsid w:val="7A7F1C49"/>
    <w:rsid w:val="7B0576BD"/>
    <w:rsid w:val="7B5B7AE6"/>
    <w:rsid w:val="7B7B6628"/>
    <w:rsid w:val="7BA5548B"/>
    <w:rsid w:val="7BA7071E"/>
    <w:rsid w:val="7BDF6DA8"/>
    <w:rsid w:val="7C7EDC1A"/>
    <w:rsid w:val="7CAA08C2"/>
    <w:rsid w:val="7CCED98D"/>
    <w:rsid w:val="7D08410F"/>
    <w:rsid w:val="7D316F9B"/>
    <w:rsid w:val="7D697FAC"/>
    <w:rsid w:val="7D970F17"/>
    <w:rsid w:val="7DB96DED"/>
    <w:rsid w:val="7DD3AD81"/>
    <w:rsid w:val="7DD8198E"/>
    <w:rsid w:val="7DDE3FD8"/>
    <w:rsid w:val="7E2021AA"/>
    <w:rsid w:val="7E7324B4"/>
    <w:rsid w:val="7EB812D6"/>
    <w:rsid w:val="7ED75061"/>
    <w:rsid w:val="7F6E0F84"/>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0"/>
              <c:layout>
                <c:manualLayout>
                  <c:x val="0.011954537780692"/>
                  <c:y val="-0.19066175612061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delete val="1"/>
            </c:dLbl>
            <c:dLbl>
              <c:idx val="2"/>
              <c:delete val="1"/>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9069.44</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168bccb-25ec-489b-a7ac-49d4e1640d79}"/>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6889.46</c:v>
                </c:pt>
                <c:pt idx="1">
                  <c:v>1798.36</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ab0876d-227a-479b-afec-fff4f58adff0}"/>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4046</Words>
  <Characters>4539</Characters>
  <Lines>44</Lines>
  <Paragraphs>12</Paragraphs>
  <TotalTime>17</TotalTime>
  <ScaleCrop>false</ScaleCrop>
  <LinksUpToDate>false</LinksUpToDate>
  <CharactersWithSpaces>4557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dangjinze</cp:lastModifiedBy>
  <cp:lastPrinted>2025-08-20T08:38:00Z</cp:lastPrinted>
  <dcterms:modified xsi:type="dcterms:W3CDTF">2025-08-27T07:07:18Z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eyJoZGlkIjoiODQ1YWQ5N2EzODUxMWJhZjZmYmQ5OTlkNWJhZDRjNWEifQ==</vt:lpwstr>
  </property>
</Properties>
</file>