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85F88B">
      <w:pPr>
        <w:spacing w:line="560" w:lineRule="exact"/>
        <w:jc w:val="center"/>
        <w:rPr>
          <w:rFonts w:ascii="方正小标宋简体" w:eastAsia="方正小标宋简体"/>
          <w:sz w:val="36"/>
          <w:szCs w:val="36"/>
        </w:rPr>
      </w:pPr>
    </w:p>
    <w:p w14:paraId="2201A31F">
      <w:pPr>
        <w:spacing w:line="560" w:lineRule="exact"/>
        <w:jc w:val="center"/>
        <w:rPr>
          <w:rFonts w:ascii="方正小标宋简体" w:eastAsia="方正小标宋简体"/>
          <w:sz w:val="36"/>
          <w:szCs w:val="36"/>
        </w:rPr>
      </w:pPr>
      <w:r>
        <w:rPr>
          <w:rFonts w:hint="eastAsia" w:ascii="方正小标宋简体" w:eastAsia="方正小标宋简体"/>
          <w:sz w:val="36"/>
          <w:szCs w:val="36"/>
        </w:rPr>
        <w:t>北京市</w:t>
      </w:r>
      <w:r>
        <w:rPr>
          <w:rFonts w:ascii="方正小标宋简体" w:eastAsia="方正小标宋简体"/>
          <w:sz w:val="36"/>
          <w:szCs w:val="36"/>
        </w:rPr>
        <w:t>信访办公室</w:t>
      </w:r>
      <w:r>
        <w:rPr>
          <w:rFonts w:hint="eastAsia" w:ascii="方正小标宋简体" w:eastAsia="方正小标宋简体"/>
          <w:sz w:val="36"/>
          <w:szCs w:val="36"/>
        </w:rPr>
        <w:t>202</w:t>
      </w:r>
      <w:r>
        <w:rPr>
          <w:rFonts w:ascii="方正小标宋简体" w:eastAsia="方正小标宋简体"/>
          <w:sz w:val="36"/>
          <w:szCs w:val="36"/>
        </w:rPr>
        <w:t>4</w:t>
      </w:r>
      <w:r>
        <w:rPr>
          <w:rFonts w:hint="eastAsia" w:ascii="方正小标宋简体" w:eastAsia="方正小标宋简体"/>
          <w:sz w:val="36"/>
          <w:szCs w:val="36"/>
        </w:rPr>
        <w:t>年部门整体</w:t>
      </w:r>
    </w:p>
    <w:p w14:paraId="0736B070">
      <w:pPr>
        <w:spacing w:line="560" w:lineRule="exact"/>
        <w:jc w:val="center"/>
        <w:rPr>
          <w:rFonts w:ascii="方正小标宋简体" w:eastAsia="方正小标宋简体"/>
          <w:sz w:val="36"/>
          <w:szCs w:val="36"/>
        </w:rPr>
      </w:pPr>
      <w:r>
        <w:rPr>
          <w:rFonts w:hint="eastAsia" w:ascii="方正小标宋简体" w:eastAsia="方正小标宋简体"/>
          <w:sz w:val="36"/>
          <w:szCs w:val="36"/>
        </w:rPr>
        <w:t>绩效评价报告</w:t>
      </w:r>
    </w:p>
    <w:p w14:paraId="4FA51A7A">
      <w:pPr>
        <w:jc w:val="center"/>
        <w:rPr>
          <w:rFonts w:ascii="仿宋_GB2312"/>
          <w:szCs w:val="30"/>
        </w:rPr>
      </w:pPr>
    </w:p>
    <w:p w14:paraId="5E0C8CA6">
      <w:pPr>
        <w:spacing w:line="600" w:lineRule="exact"/>
        <w:ind w:firstLine="640" w:firstLineChars="200"/>
        <w:rPr>
          <w:rFonts w:ascii="黑体" w:hAnsi="黑体" w:eastAsia="黑体" w:cs="宋体"/>
          <w:color w:val="000000"/>
          <w:kern w:val="0"/>
          <w:sz w:val="32"/>
          <w:szCs w:val="32"/>
        </w:rPr>
      </w:pPr>
      <w:r>
        <w:rPr>
          <w:rFonts w:hint="eastAsia" w:ascii="黑体" w:hAnsi="黑体" w:eastAsia="黑体" w:cs="宋体"/>
          <w:color w:val="000000"/>
          <w:kern w:val="0"/>
          <w:sz w:val="32"/>
          <w:szCs w:val="32"/>
        </w:rPr>
        <w:t>一、部门概况</w:t>
      </w:r>
    </w:p>
    <w:p w14:paraId="567438B4">
      <w:pPr>
        <w:spacing w:line="600" w:lineRule="exact"/>
        <w:ind w:firstLine="640" w:firstLineChars="200"/>
        <w:rPr>
          <w:rFonts w:ascii="楷体_GB2312" w:eastAsia="楷体_GB2312"/>
          <w:sz w:val="32"/>
          <w:szCs w:val="32"/>
        </w:rPr>
      </w:pPr>
      <w:r>
        <w:rPr>
          <w:rFonts w:hint="eastAsia" w:ascii="楷体_GB2312" w:eastAsia="楷体_GB2312"/>
          <w:sz w:val="32"/>
          <w:szCs w:val="32"/>
        </w:rPr>
        <w:t>（一）机构设置及职责</w:t>
      </w:r>
    </w:p>
    <w:p w14:paraId="26D56335">
      <w:pPr>
        <w:tabs>
          <w:tab w:val="center" w:pos="6979"/>
        </w:tabs>
        <w:spacing w:line="580" w:lineRule="exact"/>
        <w:ind w:firstLine="570"/>
        <w:rPr>
          <w:rFonts w:hint="eastAsia" w:ascii="仿宋_GB2312" w:hAnsi="宋体" w:eastAsia="仿宋_GB2312" w:cs="宋体"/>
          <w:color w:val="000000"/>
          <w:kern w:val="0"/>
          <w:sz w:val="32"/>
          <w:szCs w:val="32"/>
        </w:rPr>
      </w:pPr>
      <w:r>
        <w:rPr>
          <w:rFonts w:hint="eastAsia" w:ascii="仿宋_GB2312" w:eastAsia="仿宋_GB2312"/>
          <w:sz w:val="32"/>
          <w:szCs w:val="32"/>
          <w:lang w:val="en-US" w:eastAsia="zh-CN"/>
        </w:rPr>
        <w:t>北京市信访办公室内设机构12个，分别为：秘书处、来信办理处、网上信访办理处（投诉受理办公室）、来访接待处（北京市人民来访接待室）、对外联络协调处、综合调研处、排查调处办公室、督查处、复查复核处、人民建议征集办公室、宣传处（法规处）、人事处，另设机关党委、工会、离退休干部处。另有1个全额拨款事业单位，北京市信访办公室综合事务中心。下设一个预算单位，北京市信访办公室（本级）。</w:t>
      </w:r>
    </w:p>
    <w:p w14:paraId="31793AF1">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市信访办贯彻落实党中央关于信访工作的方针政策、决策部署和市委有关工作要求，在履行职责过程中坚持党对信访工作的</w:t>
      </w:r>
      <w:r>
        <w:rPr>
          <w:rFonts w:hint="eastAsia" w:ascii="仿宋_GB2312" w:hAnsi="宋体" w:eastAsia="仿宋_GB2312" w:cs="宋体"/>
          <w:color w:val="000000"/>
          <w:kern w:val="0"/>
          <w:sz w:val="32"/>
          <w:szCs w:val="32"/>
          <w:lang w:eastAsia="zh-CN"/>
        </w:rPr>
        <w:t>全面</w:t>
      </w:r>
      <w:r>
        <w:rPr>
          <w:rFonts w:hint="eastAsia" w:ascii="仿宋_GB2312" w:hAnsi="宋体" w:eastAsia="仿宋_GB2312" w:cs="宋体"/>
          <w:color w:val="000000"/>
          <w:kern w:val="0"/>
          <w:sz w:val="32"/>
          <w:szCs w:val="32"/>
        </w:rPr>
        <w:t>领导。</w:t>
      </w:r>
    </w:p>
    <w:p w14:paraId="633C36E6">
      <w:pPr>
        <w:spacing w:line="600" w:lineRule="exact"/>
        <w:ind w:firstLine="640" w:firstLineChars="200"/>
        <w:rPr>
          <w:rFonts w:ascii="楷体_GB2312" w:eastAsia="楷体_GB2312"/>
          <w:sz w:val="32"/>
          <w:szCs w:val="32"/>
        </w:rPr>
      </w:pPr>
      <w:r>
        <w:rPr>
          <w:rFonts w:hint="eastAsia" w:ascii="楷体_GB2312" w:eastAsia="楷体_GB2312"/>
          <w:sz w:val="32"/>
          <w:szCs w:val="32"/>
        </w:rPr>
        <w:t>（二）部门整体绩效目标设立情况</w:t>
      </w:r>
    </w:p>
    <w:p w14:paraId="7743B1E5">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市信访办20</w:t>
      </w:r>
      <w:r>
        <w:rPr>
          <w:rFonts w:ascii="仿宋_GB2312" w:hAnsi="宋体" w:eastAsia="仿宋_GB2312" w:cs="宋体"/>
          <w:color w:val="000000"/>
          <w:kern w:val="0"/>
          <w:sz w:val="32"/>
          <w:szCs w:val="32"/>
        </w:rPr>
        <w:t>24</w:t>
      </w:r>
      <w:r>
        <w:rPr>
          <w:rFonts w:hint="eastAsia" w:ascii="仿宋_GB2312" w:hAnsi="宋体" w:eastAsia="仿宋_GB2312" w:cs="宋体"/>
          <w:color w:val="000000"/>
          <w:kern w:val="0"/>
          <w:sz w:val="32"/>
          <w:szCs w:val="32"/>
        </w:rPr>
        <w:t>年度部门整体绩效目标的设立依据主要包括部门职能职责以及20</w:t>
      </w:r>
      <w:r>
        <w:rPr>
          <w:rFonts w:ascii="仿宋_GB2312" w:hAnsi="宋体" w:eastAsia="仿宋_GB2312" w:cs="宋体"/>
          <w:color w:val="000000"/>
          <w:kern w:val="0"/>
          <w:sz w:val="32"/>
          <w:szCs w:val="32"/>
        </w:rPr>
        <w:t>24</w:t>
      </w:r>
      <w:r>
        <w:rPr>
          <w:rFonts w:hint="eastAsia" w:ascii="仿宋_GB2312" w:hAnsi="宋体" w:eastAsia="仿宋_GB2312" w:cs="宋体"/>
          <w:color w:val="000000"/>
          <w:kern w:val="0"/>
          <w:sz w:val="32"/>
          <w:szCs w:val="32"/>
        </w:rPr>
        <w:t>年度主要工作任务。市信访办20</w:t>
      </w:r>
      <w:r>
        <w:rPr>
          <w:rFonts w:ascii="仿宋_GB2312" w:hAnsi="宋体" w:eastAsia="仿宋_GB2312" w:cs="宋体"/>
          <w:color w:val="000000"/>
          <w:kern w:val="0"/>
          <w:sz w:val="32"/>
          <w:szCs w:val="32"/>
        </w:rPr>
        <w:t>24</w:t>
      </w:r>
      <w:r>
        <w:rPr>
          <w:rFonts w:hint="eastAsia" w:ascii="仿宋_GB2312" w:hAnsi="宋体" w:eastAsia="仿宋_GB2312" w:cs="宋体"/>
          <w:color w:val="000000"/>
          <w:kern w:val="0"/>
          <w:sz w:val="32"/>
          <w:szCs w:val="32"/>
        </w:rPr>
        <w:t>年度部门整体绩效目标设置与部门职能定位相符，部门整体绩效目标对市信访办20</w:t>
      </w:r>
      <w:r>
        <w:rPr>
          <w:rFonts w:ascii="仿宋_GB2312" w:hAnsi="宋体" w:eastAsia="仿宋_GB2312" w:cs="宋体"/>
          <w:color w:val="000000"/>
          <w:kern w:val="0"/>
          <w:sz w:val="32"/>
          <w:szCs w:val="32"/>
        </w:rPr>
        <w:t>24</w:t>
      </w:r>
      <w:r>
        <w:rPr>
          <w:rFonts w:hint="eastAsia" w:ascii="仿宋_GB2312" w:hAnsi="宋体" w:eastAsia="仿宋_GB2312" w:cs="宋体"/>
          <w:color w:val="000000"/>
          <w:kern w:val="0"/>
          <w:sz w:val="32"/>
          <w:szCs w:val="32"/>
        </w:rPr>
        <w:t>年度计划重点工作内容体现较为全面。设立的部门整体绩效目标如下：</w:t>
      </w:r>
    </w:p>
    <w:p w14:paraId="58A0A4DC">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以习近平新时代中国特色社会主义思想为指导，全面贯彻党的二十大精神，深入贯彻落实党中央关于信访工作的方针政策、决策部署和市委有关工作要求，紧密围绕</w:t>
      </w:r>
      <w:r>
        <w:rPr>
          <w:rFonts w:hint="eastAsia" w:ascii="仿宋_GB2312" w:hAnsi="宋体" w:eastAsia="仿宋_GB2312" w:cs="宋体"/>
          <w:color w:val="000000"/>
          <w:kern w:val="0"/>
          <w:sz w:val="32"/>
          <w:szCs w:val="32"/>
          <w:lang w:eastAsia="zh-CN"/>
        </w:rPr>
        <w:t>全市中心工作</w:t>
      </w:r>
      <w:r>
        <w:rPr>
          <w:rFonts w:hint="eastAsia" w:ascii="仿宋_GB2312" w:hAnsi="宋体" w:eastAsia="仿宋_GB2312" w:cs="宋体"/>
          <w:color w:val="000000"/>
          <w:kern w:val="0"/>
          <w:sz w:val="32"/>
          <w:szCs w:val="32"/>
        </w:rPr>
        <w:t>，在履行职责过程中坚持党对信访工作的</w:t>
      </w:r>
      <w:r>
        <w:rPr>
          <w:rFonts w:hint="eastAsia" w:ascii="仿宋_GB2312" w:hAnsi="宋体" w:eastAsia="仿宋_GB2312" w:cs="宋体"/>
          <w:color w:val="000000"/>
          <w:kern w:val="0"/>
          <w:sz w:val="32"/>
          <w:szCs w:val="32"/>
          <w:lang w:eastAsia="zh-CN"/>
        </w:rPr>
        <w:t>全面</w:t>
      </w:r>
      <w:r>
        <w:rPr>
          <w:rFonts w:hint="eastAsia" w:ascii="仿宋_GB2312" w:hAnsi="宋体" w:eastAsia="仿宋_GB2312" w:cs="宋体"/>
          <w:color w:val="000000"/>
          <w:kern w:val="0"/>
          <w:sz w:val="32"/>
          <w:szCs w:val="32"/>
        </w:rPr>
        <w:t>领导。始终践行以人民为中心的发展思想，坚持和发展新时代“枫桥经验”，贯彻落实</w:t>
      </w:r>
      <w:r>
        <w:rPr>
          <w:rFonts w:hint="eastAsia" w:ascii="仿宋_GB2312" w:hAnsi="宋体" w:eastAsia="仿宋_GB2312" w:cs="宋体"/>
          <w:color w:val="000000"/>
          <w:kern w:val="0"/>
          <w:sz w:val="32"/>
          <w:szCs w:val="32"/>
          <w:lang w:eastAsia="zh-CN"/>
        </w:rPr>
        <w:t>《</w:t>
      </w:r>
      <w:r>
        <w:rPr>
          <w:rFonts w:hint="eastAsia" w:ascii="仿宋_GB2312" w:hAnsi="宋体" w:eastAsia="仿宋_GB2312" w:cs="宋体"/>
          <w:color w:val="000000"/>
          <w:kern w:val="0"/>
          <w:sz w:val="32"/>
          <w:szCs w:val="32"/>
        </w:rPr>
        <w:t>信访</w:t>
      </w:r>
      <w:r>
        <w:rPr>
          <w:rFonts w:hint="eastAsia" w:ascii="仿宋_GB2312" w:hAnsi="宋体" w:eastAsia="仿宋_GB2312" w:cs="宋体"/>
          <w:color w:val="000000"/>
          <w:kern w:val="0"/>
          <w:sz w:val="32"/>
          <w:szCs w:val="32"/>
          <w:lang w:eastAsia="zh-CN"/>
        </w:rPr>
        <w:t>工作</w:t>
      </w:r>
      <w:r>
        <w:rPr>
          <w:rFonts w:hint="eastAsia" w:ascii="仿宋_GB2312" w:hAnsi="宋体" w:eastAsia="仿宋_GB2312" w:cs="宋体"/>
          <w:color w:val="000000"/>
          <w:kern w:val="0"/>
          <w:sz w:val="32"/>
          <w:szCs w:val="32"/>
        </w:rPr>
        <w:t>条例</w:t>
      </w:r>
      <w:r>
        <w:rPr>
          <w:rFonts w:hint="eastAsia" w:ascii="仿宋_GB2312" w:hAnsi="宋体" w:eastAsia="仿宋_GB2312" w:cs="宋体"/>
          <w:color w:val="000000"/>
          <w:kern w:val="0"/>
          <w:sz w:val="32"/>
          <w:szCs w:val="32"/>
          <w:lang w:eastAsia="zh-CN"/>
        </w:rPr>
        <w:t>》</w:t>
      </w:r>
      <w:r>
        <w:rPr>
          <w:rFonts w:hint="eastAsia" w:ascii="仿宋_GB2312" w:hAnsi="宋体" w:eastAsia="仿宋_GB2312" w:cs="宋体"/>
          <w:color w:val="000000"/>
          <w:kern w:val="0"/>
          <w:sz w:val="32"/>
          <w:szCs w:val="32"/>
        </w:rPr>
        <w:t>，畅通信访渠道，不断夯实信访工作基层基础，带着感情和责任</w:t>
      </w:r>
      <w:r>
        <w:rPr>
          <w:rFonts w:hint="eastAsia" w:ascii="仿宋_GB2312" w:hAnsi="宋体" w:eastAsia="仿宋_GB2312" w:cs="宋体"/>
          <w:color w:val="000000"/>
          <w:kern w:val="0"/>
          <w:sz w:val="32"/>
          <w:szCs w:val="32"/>
          <w:lang w:eastAsia="zh-CN"/>
        </w:rPr>
        <w:t>做好送上门来的群众工作</w:t>
      </w:r>
      <w:r>
        <w:rPr>
          <w:rFonts w:hint="eastAsia"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lang w:eastAsia="zh-CN"/>
        </w:rPr>
        <w:t>依法及时就地解决群众合理诉求，</w:t>
      </w:r>
      <w:r>
        <w:rPr>
          <w:rFonts w:hint="eastAsia" w:ascii="仿宋_GB2312" w:hAnsi="宋体" w:eastAsia="仿宋_GB2312" w:cs="宋体"/>
          <w:color w:val="000000"/>
          <w:kern w:val="0"/>
          <w:sz w:val="32"/>
          <w:szCs w:val="32"/>
        </w:rPr>
        <w:t>不断增强群众获得感幸福感安全感，推动新时代首都信访工作高质量发展。</w:t>
      </w:r>
    </w:p>
    <w:p w14:paraId="5C62BEDB">
      <w:pPr>
        <w:spacing w:line="600" w:lineRule="exact"/>
        <w:ind w:firstLine="640" w:firstLineChars="200"/>
        <w:rPr>
          <w:rFonts w:ascii="黑体" w:hAnsi="黑体" w:eastAsia="黑体" w:cs="宋体"/>
          <w:color w:val="000000"/>
          <w:kern w:val="0"/>
          <w:sz w:val="32"/>
          <w:szCs w:val="32"/>
        </w:rPr>
      </w:pPr>
      <w:r>
        <w:rPr>
          <w:rFonts w:hint="eastAsia" w:ascii="黑体" w:hAnsi="黑体" w:eastAsia="黑体" w:cs="宋体"/>
          <w:color w:val="000000"/>
          <w:kern w:val="0"/>
          <w:sz w:val="32"/>
          <w:szCs w:val="32"/>
        </w:rPr>
        <w:t>二</w:t>
      </w:r>
      <w:r>
        <w:rPr>
          <w:rFonts w:ascii="黑体" w:hAnsi="黑体" w:eastAsia="黑体" w:cs="宋体"/>
          <w:color w:val="000000"/>
          <w:kern w:val="0"/>
          <w:sz w:val="32"/>
          <w:szCs w:val="32"/>
        </w:rPr>
        <w:t>、</w:t>
      </w:r>
      <w:r>
        <w:rPr>
          <w:rFonts w:hint="eastAsia" w:ascii="黑体" w:hAnsi="黑体" w:eastAsia="黑体" w:cs="宋体"/>
          <w:color w:val="000000"/>
          <w:kern w:val="0"/>
          <w:sz w:val="32"/>
          <w:szCs w:val="32"/>
        </w:rPr>
        <w:t>当年</w:t>
      </w:r>
      <w:r>
        <w:rPr>
          <w:rFonts w:ascii="黑体" w:hAnsi="黑体" w:eastAsia="黑体" w:cs="宋体"/>
          <w:color w:val="000000"/>
          <w:kern w:val="0"/>
          <w:sz w:val="32"/>
          <w:szCs w:val="32"/>
        </w:rPr>
        <w:t>预算执行情况</w:t>
      </w:r>
    </w:p>
    <w:p w14:paraId="773ADF31">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20</w:t>
      </w:r>
      <w:r>
        <w:rPr>
          <w:rFonts w:ascii="仿宋_GB2312" w:hAnsi="宋体" w:eastAsia="仿宋_GB2312" w:cs="宋体"/>
          <w:color w:val="000000"/>
          <w:kern w:val="0"/>
          <w:sz w:val="32"/>
          <w:szCs w:val="32"/>
        </w:rPr>
        <w:t>24</w:t>
      </w:r>
      <w:r>
        <w:rPr>
          <w:rFonts w:hint="eastAsia" w:ascii="仿宋_GB2312" w:hAnsi="宋体" w:eastAsia="仿宋_GB2312" w:cs="宋体"/>
          <w:color w:val="000000"/>
          <w:kern w:val="0"/>
          <w:sz w:val="32"/>
          <w:szCs w:val="32"/>
        </w:rPr>
        <w:t>年</w:t>
      </w:r>
      <w:r>
        <w:rPr>
          <w:rFonts w:ascii="仿宋_GB2312" w:hAnsi="宋体" w:eastAsia="仿宋_GB2312" w:cs="宋体"/>
          <w:color w:val="000000"/>
          <w:kern w:val="0"/>
          <w:sz w:val="32"/>
          <w:szCs w:val="32"/>
        </w:rPr>
        <w:t>全年</w:t>
      </w:r>
      <w:r>
        <w:rPr>
          <w:rFonts w:hint="eastAsia" w:ascii="仿宋_GB2312" w:hAnsi="宋体" w:eastAsia="仿宋_GB2312" w:cs="宋体"/>
          <w:color w:val="000000"/>
          <w:kern w:val="0"/>
          <w:sz w:val="32"/>
          <w:szCs w:val="32"/>
        </w:rPr>
        <w:t>预算数</w:t>
      </w:r>
      <w:r>
        <w:rPr>
          <w:rFonts w:ascii="仿宋_GB2312" w:hAnsi="宋体" w:eastAsia="仿宋_GB2312" w:cs="宋体"/>
          <w:color w:val="000000"/>
          <w:kern w:val="0"/>
          <w:sz w:val="32"/>
          <w:szCs w:val="32"/>
        </w:rPr>
        <w:t>8852.51</w:t>
      </w:r>
      <w:r>
        <w:rPr>
          <w:rFonts w:hint="eastAsia" w:ascii="仿宋_GB2312" w:hAnsi="宋体" w:eastAsia="仿宋_GB2312" w:cs="宋体"/>
          <w:color w:val="000000"/>
          <w:kern w:val="0"/>
          <w:sz w:val="32"/>
          <w:szCs w:val="32"/>
        </w:rPr>
        <w:t>万元</w:t>
      </w:r>
      <w:r>
        <w:rPr>
          <w:rFonts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rPr>
        <w:t>其中</w:t>
      </w:r>
      <w:r>
        <w:rPr>
          <w:rFonts w:ascii="仿宋_GB2312" w:hAnsi="宋体" w:eastAsia="仿宋_GB2312" w:cs="宋体"/>
          <w:color w:val="000000"/>
          <w:kern w:val="0"/>
          <w:sz w:val="32"/>
          <w:szCs w:val="32"/>
        </w:rPr>
        <w:t>基本</w:t>
      </w:r>
      <w:r>
        <w:rPr>
          <w:rFonts w:hint="eastAsia" w:ascii="仿宋_GB2312" w:hAnsi="宋体" w:eastAsia="仿宋_GB2312" w:cs="宋体"/>
          <w:color w:val="000000"/>
          <w:kern w:val="0"/>
          <w:sz w:val="32"/>
          <w:szCs w:val="32"/>
        </w:rPr>
        <w:t>支出</w:t>
      </w:r>
      <w:r>
        <w:rPr>
          <w:rFonts w:ascii="仿宋_GB2312" w:hAnsi="宋体" w:eastAsia="仿宋_GB2312" w:cs="宋体"/>
          <w:color w:val="000000"/>
          <w:kern w:val="0"/>
          <w:sz w:val="32"/>
          <w:szCs w:val="32"/>
        </w:rPr>
        <w:t>预算数7080.82万元，</w:t>
      </w:r>
      <w:r>
        <w:rPr>
          <w:rFonts w:hint="eastAsia" w:ascii="仿宋_GB2312" w:hAnsi="宋体" w:eastAsia="仿宋_GB2312" w:cs="宋体"/>
          <w:color w:val="000000"/>
          <w:kern w:val="0"/>
          <w:sz w:val="32"/>
          <w:szCs w:val="32"/>
        </w:rPr>
        <w:t>项目支出预算数</w:t>
      </w:r>
      <w:r>
        <w:rPr>
          <w:rFonts w:ascii="仿宋_GB2312" w:hAnsi="宋体" w:eastAsia="仿宋_GB2312" w:cs="宋体"/>
          <w:color w:val="000000"/>
          <w:kern w:val="0"/>
          <w:sz w:val="32"/>
          <w:szCs w:val="32"/>
        </w:rPr>
        <w:t>1989.09万元</w:t>
      </w:r>
      <w:r>
        <w:rPr>
          <w:rFonts w:hint="eastAsia" w:ascii="仿宋_GB2312" w:hAnsi="宋体" w:eastAsia="仿宋_GB2312" w:cs="宋体"/>
          <w:color w:val="000000"/>
          <w:kern w:val="0"/>
          <w:sz w:val="32"/>
          <w:szCs w:val="32"/>
        </w:rPr>
        <w:t>;</w:t>
      </w:r>
      <w:r>
        <w:rPr>
          <w:rFonts w:ascii="仿宋_GB2312" w:hAnsi="宋体" w:eastAsia="仿宋_GB2312" w:cs="宋体"/>
          <w:color w:val="000000"/>
          <w:kern w:val="0"/>
          <w:sz w:val="32"/>
          <w:szCs w:val="32"/>
        </w:rPr>
        <w:t>资金总体</w:t>
      </w:r>
      <w:r>
        <w:rPr>
          <w:rFonts w:hint="eastAsia" w:ascii="仿宋_GB2312" w:hAnsi="宋体" w:eastAsia="仿宋_GB2312" w:cs="宋体"/>
          <w:color w:val="000000"/>
          <w:kern w:val="0"/>
          <w:sz w:val="32"/>
          <w:szCs w:val="32"/>
        </w:rPr>
        <w:t>支出</w:t>
      </w:r>
      <w:r>
        <w:rPr>
          <w:rFonts w:ascii="仿宋_GB2312" w:hAnsi="宋体" w:eastAsia="仿宋_GB2312" w:cs="宋体"/>
          <w:color w:val="000000"/>
          <w:kern w:val="0"/>
          <w:sz w:val="32"/>
          <w:szCs w:val="32"/>
        </w:rPr>
        <w:t>8687.82万元，其中，基本支出</w:t>
      </w:r>
      <w:r>
        <w:rPr>
          <w:rFonts w:hint="eastAsia" w:ascii="仿宋_GB2312" w:hAnsi="宋体" w:eastAsia="仿宋_GB2312" w:cs="宋体"/>
          <w:color w:val="000000"/>
          <w:kern w:val="0"/>
          <w:sz w:val="32"/>
          <w:szCs w:val="32"/>
        </w:rPr>
        <w:t>决算数</w:t>
      </w:r>
      <w:r>
        <w:rPr>
          <w:rFonts w:ascii="仿宋_GB2312" w:hAnsi="宋体" w:eastAsia="仿宋_GB2312" w:cs="宋体"/>
          <w:color w:val="000000"/>
          <w:kern w:val="0"/>
          <w:sz w:val="32"/>
          <w:szCs w:val="32"/>
        </w:rPr>
        <w:t>6889.46万元，项目</w:t>
      </w:r>
      <w:r>
        <w:rPr>
          <w:rFonts w:hint="eastAsia" w:ascii="仿宋_GB2312" w:hAnsi="宋体" w:eastAsia="仿宋_GB2312" w:cs="宋体"/>
          <w:color w:val="000000"/>
          <w:kern w:val="0"/>
          <w:sz w:val="32"/>
          <w:szCs w:val="32"/>
        </w:rPr>
        <w:t>支出决算数</w:t>
      </w:r>
      <w:r>
        <w:rPr>
          <w:rFonts w:ascii="仿宋_GB2312" w:hAnsi="宋体" w:eastAsia="仿宋_GB2312" w:cs="宋体"/>
          <w:color w:val="000000"/>
          <w:kern w:val="0"/>
          <w:sz w:val="32"/>
          <w:szCs w:val="32"/>
        </w:rPr>
        <w:t>1798.36万元。</w:t>
      </w:r>
      <w:r>
        <w:rPr>
          <w:rFonts w:hint="eastAsia" w:ascii="仿宋_GB2312" w:hAnsi="宋体" w:eastAsia="仿宋_GB2312" w:cs="宋体"/>
          <w:color w:val="000000"/>
          <w:kern w:val="0"/>
          <w:sz w:val="32"/>
          <w:szCs w:val="32"/>
        </w:rPr>
        <w:t>预算</w:t>
      </w:r>
      <w:r>
        <w:rPr>
          <w:rFonts w:ascii="仿宋_GB2312" w:hAnsi="宋体" w:eastAsia="仿宋_GB2312" w:cs="宋体"/>
          <w:color w:val="000000"/>
          <w:kern w:val="0"/>
          <w:sz w:val="32"/>
          <w:szCs w:val="32"/>
        </w:rPr>
        <w:t>执行率为95.79</w:t>
      </w:r>
      <w:r>
        <w:rPr>
          <w:rFonts w:hint="eastAsia" w:ascii="仿宋_GB2312" w:hAnsi="宋体" w:eastAsia="仿宋_GB2312" w:cs="宋体"/>
          <w:color w:val="000000"/>
          <w:kern w:val="0"/>
          <w:sz w:val="32"/>
          <w:szCs w:val="32"/>
        </w:rPr>
        <w:t>%。</w:t>
      </w:r>
    </w:p>
    <w:p w14:paraId="69D1EBC5">
      <w:pPr>
        <w:spacing w:line="600" w:lineRule="exact"/>
        <w:ind w:left="105" w:leftChars="50" w:firstLine="480" w:firstLineChars="150"/>
        <w:rPr>
          <w:rFonts w:ascii="黑体" w:hAnsi="黑体" w:eastAsia="黑体" w:cs="宋体"/>
          <w:color w:val="000000"/>
          <w:kern w:val="0"/>
          <w:sz w:val="32"/>
          <w:szCs w:val="32"/>
        </w:rPr>
      </w:pPr>
      <w:r>
        <w:rPr>
          <w:rFonts w:hint="eastAsia" w:ascii="黑体" w:hAnsi="黑体" w:eastAsia="黑体" w:cs="宋体"/>
          <w:color w:val="000000"/>
          <w:kern w:val="0"/>
          <w:sz w:val="32"/>
          <w:szCs w:val="32"/>
        </w:rPr>
        <w:t>三</w:t>
      </w:r>
      <w:r>
        <w:rPr>
          <w:rFonts w:ascii="黑体" w:hAnsi="黑体" w:eastAsia="黑体" w:cs="宋体"/>
          <w:color w:val="000000"/>
          <w:kern w:val="0"/>
          <w:sz w:val="32"/>
          <w:szCs w:val="32"/>
        </w:rPr>
        <w:t>、整体绩效目标实现情况</w:t>
      </w:r>
    </w:p>
    <w:p w14:paraId="032A2DEC">
      <w:pPr>
        <w:spacing w:line="600" w:lineRule="exact"/>
        <w:ind w:left="105" w:leftChars="50" w:firstLine="480" w:firstLineChars="150"/>
        <w:rPr>
          <w:rFonts w:ascii="黑体" w:hAnsi="黑体" w:eastAsia="黑体" w:cs="宋体"/>
          <w:color w:val="000000"/>
          <w:kern w:val="0"/>
          <w:sz w:val="32"/>
          <w:szCs w:val="32"/>
        </w:rPr>
      </w:pPr>
      <w:r>
        <w:rPr>
          <w:rFonts w:hint="eastAsia" w:ascii="仿宋_GB2312" w:hAnsi="宋体" w:eastAsia="仿宋_GB2312" w:cs="宋体"/>
          <w:color w:val="000000"/>
          <w:kern w:val="0"/>
          <w:sz w:val="32"/>
          <w:szCs w:val="32"/>
        </w:rPr>
        <w:t>2024年，市信访办坚持以习近平新时代中国特色社会主义思想为指导，全面贯彻党的二十大精神，深入贯彻落实党中央关于信访工作的方针政策、决策部署和市委有关工作要求，紧密围绕</w:t>
      </w:r>
      <w:r>
        <w:rPr>
          <w:rFonts w:hint="eastAsia" w:ascii="仿宋_GB2312" w:hAnsi="宋体" w:eastAsia="仿宋_GB2312" w:cs="宋体"/>
          <w:color w:val="000000"/>
          <w:kern w:val="0"/>
          <w:sz w:val="32"/>
          <w:szCs w:val="32"/>
          <w:lang w:eastAsia="zh-CN"/>
        </w:rPr>
        <w:t>全市中心工作</w:t>
      </w:r>
      <w:r>
        <w:rPr>
          <w:rFonts w:hint="eastAsia" w:ascii="仿宋_GB2312" w:hAnsi="宋体" w:eastAsia="仿宋_GB2312" w:cs="宋体"/>
          <w:color w:val="000000"/>
          <w:kern w:val="0"/>
          <w:sz w:val="32"/>
          <w:szCs w:val="32"/>
        </w:rPr>
        <w:t>，在履行职责过程中坚持党对信访工作的全面领导。忠诚履行为民解难、为党分忧的政治责任，圆满完成年度各项任务，扎实推动新时代首都信访工作高质量发展，为服务首都改革发展稳定大局作出了积极贡献。</w:t>
      </w:r>
    </w:p>
    <w:p w14:paraId="4015F616">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（一）产出完成情况分析</w:t>
      </w:r>
    </w:p>
    <w:p w14:paraId="12EF43B3">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1.产出数量</w:t>
      </w:r>
    </w:p>
    <w:p w14:paraId="75DD708D">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通畅信访渠道，为群众提供更为便捷的信访通道，节省群众信访成本。在接待来访工作中，提供了安全的信访接待场所</w:t>
      </w:r>
      <w:bookmarkStart w:id="0" w:name="_GoBack"/>
      <w:bookmarkEnd w:id="0"/>
      <w:r>
        <w:rPr>
          <w:rFonts w:hint="eastAsia" w:ascii="仿宋_GB2312" w:hAnsi="宋体" w:eastAsia="仿宋_GB2312" w:cs="宋体"/>
          <w:color w:val="000000"/>
          <w:kern w:val="0"/>
          <w:sz w:val="32"/>
          <w:szCs w:val="32"/>
        </w:rPr>
        <w:t>。通过网站、微信公众号等传播方式开展本市信访工作相关宣传解读。</w:t>
      </w:r>
    </w:p>
    <w:p w14:paraId="302BA659">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2.产出</w:t>
      </w:r>
      <w:r>
        <w:rPr>
          <w:rFonts w:ascii="仿宋_GB2312" w:hAnsi="宋体" w:eastAsia="仿宋_GB2312" w:cs="宋体"/>
          <w:color w:val="000000"/>
          <w:kern w:val="0"/>
          <w:sz w:val="32"/>
          <w:szCs w:val="32"/>
        </w:rPr>
        <w:t>质量</w:t>
      </w:r>
    </w:p>
    <w:p w14:paraId="7A155E8F">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围绕党中央关于信访工作的方针政策、决策部署和市委有关工作要求，深刻把握信访工作的政治性和人民性，坚持人民信访为人民，千方百计为群众排忧解难，确保信访工作始终沿着正确方向前进。及时传递党和政府的温暖，增强群众的获得感幸福感安全感。</w:t>
      </w:r>
    </w:p>
    <w:p w14:paraId="219B8CA4">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3.产出</w:t>
      </w:r>
      <w:r>
        <w:rPr>
          <w:rFonts w:ascii="仿宋_GB2312" w:hAnsi="宋体" w:eastAsia="仿宋_GB2312" w:cs="宋体"/>
          <w:color w:val="000000"/>
          <w:kern w:val="0"/>
          <w:sz w:val="32"/>
          <w:szCs w:val="32"/>
        </w:rPr>
        <w:t>进度</w:t>
      </w:r>
    </w:p>
    <w:p w14:paraId="6CE01EA5">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仿宋_GB2312" w:eastAsia="仿宋_GB2312" w:cs="仿宋_GB2312"/>
          <w:sz w:val="32"/>
          <w:szCs w:val="32"/>
        </w:rPr>
        <w:t>按照202</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年度计划安排，有序实施、扎实推进</w:t>
      </w:r>
      <w:r>
        <w:rPr>
          <w:rFonts w:hint="eastAsia" w:ascii="仿宋_GB2312" w:hAnsi="宋体" w:eastAsia="仿宋_GB2312" w:cs="宋体"/>
          <w:color w:val="000000"/>
          <w:kern w:val="0"/>
          <w:sz w:val="32"/>
          <w:szCs w:val="32"/>
        </w:rPr>
        <w:t>各项</w:t>
      </w:r>
      <w:r>
        <w:rPr>
          <w:rFonts w:hint="eastAsia" w:ascii="仿宋_GB2312" w:hAnsi="仿宋_GB2312" w:eastAsia="仿宋_GB2312" w:cs="仿宋_GB2312"/>
          <w:sz w:val="32"/>
          <w:szCs w:val="32"/>
        </w:rPr>
        <w:t>重点</w:t>
      </w:r>
      <w:r>
        <w:rPr>
          <w:rFonts w:hint="eastAsia" w:ascii="仿宋_GB2312" w:hAnsi="宋体" w:eastAsia="仿宋_GB2312" w:cs="宋体"/>
          <w:color w:val="000000"/>
          <w:kern w:val="0"/>
          <w:sz w:val="32"/>
          <w:szCs w:val="32"/>
        </w:rPr>
        <w:t>信访工作</w:t>
      </w:r>
      <w:r>
        <w:rPr>
          <w:rFonts w:hint="eastAsia" w:ascii="仿宋_GB2312" w:hAnsi="仿宋_GB2312" w:eastAsia="仿宋_GB2312" w:cs="仿宋_GB2312"/>
          <w:sz w:val="32"/>
          <w:szCs w:val="32"/>
        </w:rPr>
        <w:t>。截至202</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年12月31日，市信访</w:t>
      </w:r>
      <w:r>
        <w:rPr>
          <w:rFonts w:ascii="仿宋_GB2312" w:hAnsi="仿宋_GB2312" w:eastAsia="仿宋_GB2312" w:cs="仿宋_GB2312"/>
          <w:sz w:val="32"/>
          <w:szCs w:val="32"/>
        </w:rPr>
        <w:t>办</w:t>
      </w:r>
      <w:r>
        <w:rPr>
          <w:rFonts w:hint="eastAsia" w:ascii="仿宋_GB2312" w:hAnsi="仿宋_GB2312" w:eastAsia="仿宋_GB2312" w:cs="仿宋_GB2312"/>
          <w:sz w:val="32"/>
          <w:szCs w:val="32"/>
        </w:rPr>
        <w:t>年度各项绩效任务已全部完成。</w:t>
      </w:r>
    </w:p>
    <w:p w14:paraId="081BAECF">
      <w:pPr>
        <w:spacing w:line="600" w:lineRule="exact"/>
        <w:ind w:left="105" w:leftChars="50" w:firstLine="480" w:firstLineChars="150"/>
        <w:rPr>
          <w:rFonts w:ascii="仿宋_GB2312" w:hAnsi="宋体" w:eastAsia="仿宋_GB2312" w:cs="宋体"/>
          <w:color w:val="000000"/>
          <w:kern w:val="0"/>
          <w:sz w:val="32"/>
          <w:szCs w:val="32"/>
        </w:rPr>
      </w:pPr>
      <w:r>
        <w:rPr>
          <w:rFonts w:ascii="仿宋_GB2312" w:hAnsi="宋体" w:eastAsia="仿宋_GB2312" w:cs="宋体"/>
          <w:color w:val="000000"/>
          <w:kern w:val="0"/>
          <w:sz w:val="32"/>
          <w:szCs w:val="32"/>
        </w:rPr>
        <w:t>4.</w:t>
      </w:r>
      <w:r>
        <w:rPr>
          <w:rFonts w:hint="eastAsia" w:ascii="仿宋_GB2312" w:hAnsi="宋体" w:eastAsia="仿宋_GB2312" w:cs="宋体"/>
          <w:color w:val="000000"/>
          <w:kern w:val="0"/>
          <w:sz w:val="32"/>
          <w:szCs w:val="32"/>
        </w:rPr>
        <w:t>产出</w:t>
      </w:r>
      <w:r>
        <w:rPr>
          <w:rFonts w:ascii="仿宋_GB2312" w:hAnsi="宋体" w:eastAsia="仿宋_GB2312" w:cs="宋体"/>
          <w:color w:val="000000"/>
          <w:kern w:val="0"/>
          <w:sz w:val="32"/>
          <w:szCs w:val="32"/>
        </w:rPr>
        <w:t>成本</w:t>
      </w:r>
    </w:p>
    <w:p w14:paraId="627D11D8">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仿宋_GB2312" w:eastAsia="仿宋_GB2312" w:cs="仿宋_GB2312"/>
          <w:sz w:val="32"/>
          <w:szCs w:val="32"/>
        </w:rPr>
        <w:t>根据年度工作目标和实际工作需要，落实过“紧日子”要求，严格按照</w:t>
      </w:r>
      <w:r>
        <w:rPr>
          <w:rFonts w:hint="eastAsia" w:ascii="仿宋_GB2312" w:hAnsi="宋体" w:eastAsia="仿宋_GB2312" w:cs="宋体"/>
          <w:color w:val="000000"/>
          <w:kern w:val="0"/>
          <w:sz w:val="32"/>
          <w:szCs w:val="32"/>
        </w:rPr>
        <w:t>202</w:t>
      </w:r>
      <w:r>
        <w:rPr>
          <w:rFonts w:ascii="仿宋_GB2312" w:hAnsi="宋体" w:eastAsia="仿宋_GB2312" w:cs="宋体"/>
          <w:color w:val="000000"/>
          <w:kern w:val="0"/>
          <w:sz w:val="32"/>
          <w:szCs w:val="32"/>
        </w:rPr>
        <w:t>4</w:t>
      </w:r>
      <w:r>
        <w:rPr>
          <w:rFonts w:hint="eastAsia" w:ascii="仿宋_GB2312" w:hAnsi="宋体" w:eastAsia="仿宋_GB2312" w:cs="宋体"/>
          <w:color w:val="000000"/>
          <w:kern w:val="0"/>
          <w:sz w:val="32"/>
          <w:szCs w:val="32"/>
        </w:rPr>
        <w:t>年</w:t>
      </w:r>
      <w:r>
        <w:rPr>
          <w:rFonts w:ascii="仿宋_GB2312" w:hAnsi="宋体" w:eastAsia="仿宋_GB2312" w:cs="宋体"/>
          <w:color w:val="000000"/>
          <w:kern w:val="0"/>
          <w:sz w:val="32"/>
          <w:szCs w:val="32"/>
        </w:rPr>
        <w:t>全年</w:t>
      </w:r>
      <w:r>
        <w:rPr>
          <w:rFonts w:hint="eastAsia" w:ascii="仿宋_GB2312" w:hAnsi="宋体" w:eastAsia="仿宋_GB2312" w:cs="宋体"/>
          <w:color w:val="000000"/>
          <w:kern w:val="0"/>
          <w:sz w:val="32"/>
          <w:szCs w:val="32"/>
        </w:rPr>
        <w:t>预算数</w:t>
      </w:r>
      <w:r>
        <w:rPr>
          <w:rFonts w:ascii="仿宋_GB2312" w:hAnsi="宋体" w:eastAsia="仿宋_GB2312" w:cs="宋体"/>
          <w:color w:val="000000"/>
          <w:kern w:val="0"/>
          <w:sz w:val="32"/>
          <w:szCs w:val="32"/>
        </w:rPr>
        <w:t>9069.91</w:t>
      </w:r>
      <w:r>
        <w:rPr>
          <w:rFonts w:hint="eastAsia" w:ascii="仿宋_GB2312" w:hAnsi="宋体" w:eastAsia="仿宋_GB2312" w:cs="宋体"/>
          <w:color w:val="000000"/>
          <w:kern w:val="0"/>
          <w:sz w:val="32"/>
          <w:szCs w:val="32"/>
        </w:rPr>
        <w:t>万元</w:t>
      </w:r>
      <w:r>
        <w:rPr>
          <w:rFonts w:ascii="仿宋_GB2312" w:hAnsi="宋体" w:eastAsia="仿宋_GB2312" w:cs="宋体"/>
          <w:color w:val="000000"/>
          <w:kern w:val="0"/>
          <w:sz w:val="32"/>
          <w:szCs w:val="32"/>
        </w:rPr>
        <w:t>，</w:t>
      </w:r>
      <w:r>
        <w:rPr>
          <w:rFonts w:hint="eastAsia" w:ascii="仿宋_GB2312" w:hAnsi="仿宋_GB2312" w:eastAsia="仿宋_GB2312" w:cs="仿宋_GB2312"/>
          <w:sz w:val="32"/>
          <w:szCs w:val="32"/>
        </w:rPr>
        <w:t>控制各项支出，细化各项开支标准和范围，全年无超预算发生，</w:t>
      </w:r>
      <w:r>
        <w:rPr>
          <w:rFonts w:hint="eastAsia" w:ascii="仿宋_GB2312" w:hAnsi="宋体" w:eastAsia="仿宋_GB2312" w:cs="宋体"/>
          <w:color w:val="000000"/>
          <w:kern w:val="0"/>
          <w:sz w:val="32"/>
          <w:szCs w:val="32"/>
        </w:rPr>
        <w:t>各类费用控制在预算内</w:t>
      </w:r>
      <w:r>
        <w:rPr>
          <w:rFonts w:hint="eastAsia" w:ascii="仿宋_GB2312" w:hAnsi="仿宋_GB2312" w:eastAsia="仿宋_GB2312" w:cs="仿宋_GB2312"/>
          <w:sz w:val="32"/>
          <w:szCs w:val="32"/>
        </w:rPr>
        <w:t>。决算</w:t>
      </w:r>
      <w:r>
        <w:rPr>
          <w:rFonts w:hint="eastAsia" w:ascii="仿宋_GB2312" w:hAnsi="宋体" w:eastAsia="仿宋_GB2312" w:cs="宋体"/>
          <w:color w:val="000000"/>
          <w:kern w:val="0"/>
          <w:sz w:val="32"/>
          <w:szCs w:val="32"/>
        </w:rPr>
        <w:t>支出数</w:t>
      </w:r>
      <w:r>
        <w:rPr>
          <w:rFonts w:ascii="仿宋_GB2312" w:hAnsi="宋体" w:eastAsia="仿宋_GB2312" w:cs="宋体"/>
          <w:color w:val="000000"/>
          <w:kern w:val="0"/>
          <w:sz w:val="32"/>
          <w:szCs w:val="32"/>
        </w:rPr>
        <w:t>8687.82万元</w:t>
      </w:r>
      <w:r>
        <w:rPr>
          <w:rFonts w:hint="eastAsia" w:ascii="仿宋_GB2312" w:hAnsi="仿宋_GB2312" w:eastAsia="仿宋_GB2312" w:cs="仿宋_GB2312"/>
          <w:sz w:val="32"/>
          <w:szCs w:val="32"/>
        </w:rPr>
        <w:t>，实现产出成本预期目标。</w:t>
      </w:r>
    </w:p>
    <w:p w14:paraId="40A13253">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（二）效果</w:t>
      </w:r>
      <w:r>
        <w:rPr>
          <w:rFonts w:ascii="楷体_GB2312" w:eastAsia="楷体_GB2312"/>
          <w:sz w:val="32"/>
          <w:szCs w:val="32"/>
        </w:rPr>
        <w:t>实现情况分析</w:t>
      </w:r>
    </w:p>
    <w:p w14:paraId="665BD01D">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在市委、市政府正确领导和精心指导下，市信访办坚持以习近平新时代中国特色社会主义思想为指导，深入学习贯彻党的二十大精神，认真贯彻落实习近平法治思想、习近平总书记关于加强和改进人民信访工作的重要思想，立足首都城市战略定位，紧密围绕“学习宣传落实《信访工作条例》、大力推进信访工作法治化、加快构建信访工作高质量发展新格局”这一工作主线，不断畅通和规范群众诉求表达、利益协调、权益保障通道。</w:t>
      </w:r>
    </w:p>
    <w:p w14:paraId="7AAE1CC1">
      <w:pPr>
        <w:spacing w:line="600" w:lineRule="exact"/>
        <w:ind w:left="105" w:leftChars="50" w:firstLine="480" w:firstLineChars="150"/>
        <w:rPr>
          <w:rFonts w:ascii="黑体" w:hAnsi="黑体" w:eastAsia="黑体" w:cs="宋体"/>
          <w:color w:val="000000"/>
          <w:kern w:val="0"/>
          <w:sz w:val="32"/>
          <w:szCs w:val="32"/>
        </w:rPr>
      </w:pPr>
      <w:r>
        <w:rPr>
          <w:rFonts w:hint="eastAsia" w:ascii="黑体" w:hAnsi="黑体" w:eastAsia="黑体" w:cs="宋体"/>
          <w:color w:val="000000"/>
          <w:kern w:val="0"/>
          <w:sz w:val="32"/>
          <w:szCs w:val="32"/>
        </w:rPr>
        <w:t>四</w:t>
      </w:r>
      <w:r>
        <w:rPr>
          <w:rFonts w:ascii="黑体" w:hAnsi="黑体" w:eastAsia="黑体" w:cs="宋体"/>
          <w:color w:val="000000"/>
          <w:kern w:val="0"/>
          <w:sz w:val="32"/>
          <w:szCs w:val="32"/>
        </w:rPr>
        <w:t>、预算管理</w:t>
      </w:r>
      <w:r>
        <w:rPr>
          <w:rFonts w:hint="eastAsia" w:ascii="黑体" w:hAnsi="黑体" w:eastAsia="黑体" w:cs="宋体"/>
          <w:color w:val="000000"/>
          <w:kern w:val="0"/>
          <w:sz w:val="32"/>
          <w:szCs w:val="32"/>
        </w:rPr>
        <w:t>情况分</w:t>
      </w:r>
      <w:r>
        <w:rPr>
          <w:rFonts w:ascii="黑体" w:hAnsi="黑体" w:eastAsia="黑体" w:cs="宋体"/>
          <w:color w:val="000000"/>
          <w:kern w:val="0"/>
          <w:sz w:val="32"/>
          <w:szCs w:val="32"/>
        </w:rPr>
        <w:t>析</w:t>
      </w:r>
    </w:p>
    <w:p w14:paraId="5A4FCE00">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（一）财务管理</w:t>
      </w:r>
    </w:p>
    <w:p w14:paraId="155C0B36">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1.财务</w:t>
      </w:r>
      <w:r>
        <w:rPr>
          <w:rFonts w:ascii="仿宋_GB2312" w:hAnsi="宋体" w:eastAsia="仿宋_GB2312" w:cs="宋体"/>
          <w:color w:val="000000"/>
          <w:kern w:val="0"/>
          <w:sz w:val="32"/>
          <w:szCs w:val="32"/>
        </w:rPr>
        <w:t>管理制度健全性</w:t>
      </w:r>
    </w:p>
    <w:p w14:paraId="401079C5">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严格按照有关财务管理的相关规定，在</w:t>
      </w:r>
      <w:r>
        <w:rPr>
          <w:rFonts w:hint="eastAsia" w:ascii="仿宋_GB2312" w:hAnsi="仿宋_GB2312" w:eastAsia="仿宋_GB2312" w:cs="仿宋_GB2312"/>
          <w:sz w:val="32"/>
          <w:szCs w:val="32"/>
        </w:rPr>
        <w:t>资金审批、预算管理、经费支出、资产管理、政府采购等方面对财务工作进行了监督，保障日常工作有章可循、稳步推进。</w:t>
      </w:r>
    </w:p>
    <w:p w14:paraId="6BB44B00">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2.资金使用合规性</w:t>
      </w:r>
      <w:r>
        <w:rPr>
          <w:rFonts w:ascii="仿宋_GB2312" w:hAnsi="宋体" w:eastAsia="仿宋_GB2312" w:cs="宋体"/>
          <w:color w:val="000000"/>
          <w:kern w:val="0"/>
          <w:sz w:val="32"/>
          <w:szCs w:val="32"/>
        </w:rPr>
        <w:t>和安全性</w:t>
      </w:r>
    </w:p>
    <w:p w14:paraId="0EFDD799">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仿宋_GB2312" w:eastAsia="仿宋_GB2312" w:cs="仿宋_GB2312"/>
          <w:sz w:val="32"/>
          <w:szCs w:val="32"/>
        </w:rPr>
        <w:t>资金使用严格遵照国家法律法规和有关管理制度执行。</w:t>
      </w:r>
      <w:r>
        <w:rPr>
          <w:rFonts w:hint="eastAsia" w:ascii="仿宋_GB2312" w:hAnsi="宋体" w:eastAsia="仿宋_GB2312" w:cs="宋体"/>
          <w:color w:val="000000"/>
          <w:kern w:val="0"/>
          <w:sz w:val="32"/>
          <w:szCs w:val="32"/>
        </w:rPr>
        <w:t>一是资金支出的规范，资金管理、费用标准、支付均符合我市财务相关制度规定；二是资金调整规范，严格实行预算调整审批制度。同时</w:t>
      </w:r>
      <w:r>
        <w:rPr>
          <w:rFonts w:hint="eastAsia" w:ascii="仿宋_GB2312" w:hAnsi="仿宋_GB2312" w:eastAsia="仿宋_GB2312" w:cs="仿宋_GB2312"/>
          <w:sz w:val="32"/>
          <w:szCs w:val="32"/>
        </w:rPr>
        <w:t>持续推动内部审计和监督机制建设，审计监督向全面、纵深发展，为资金高效安全的使用保驾护航。</w:t>
      </w:r>
    </w:p>
    <w:p w14:paraId="0B23D435">
      <w:pPr>
        <w:spacing w:line="600" w:lineRule="exact"/>
        <w:ind w:left="105" w:leftChars="50" w:firstLine="480" w:firstLineChars="150"/>
        <w:rPr>
          <w:rFonts w:ascii="仿宋_GB2312" w:hAnsi="宋体" w:eastAsia="仿宋_GB2312" w:cs="宋体"/>
          <w:color w:val="000000"/>
          <w:kern w:val="0"/>
          <w:sz w:val="32"/>
          <w:szCs w:val="32"/>
        </w:rPr>
      </w:pPr>
      <w:r>
        <w:rPr>
          <w:rFonts w:ascii="仿宋_GB2312" w:hAnsi="宋体" w:eastAsia="仿宋_GB2312" w:cs="宋体"/>
          <w:color w:val="000000"/>
          <w:kern w:val="0"/>
          <w:sz w:val="32"/>
          <w:szCs w:val="32"/>
        </w:rPr>
        <w:t>3.</w:t>
      </w:r>
      <w:r>
        <w:rPr>
          <w:rFonts w:hint="eastAsia" w:ascii="仿宋_GB2312" w:hAnsi="宋体" w:eastAsia="仿宋_GB2312" w:cs="宋体"/>
          <w:color w:val="000000"/>
          <w:kern w:val="0"/>
          <w:sz w:val="32"/>
          <w:szCs w:val="32"/>
        </w:rPr>
        <w:t>会计</w:t>
      </w:r>
      <w:r>
        <w:rPr>
          <w:rFonts w:ascii="仿宋_GB2312" w:hAnsi="宋体" w:eastAsia="仿宋_GB2312" w:cs="宋体"/>
          <w:color w:val="000000"/>
          <w:kern w:val="0"/>
          <w:sz w:val="32"/>
          <w:szCs w:val="32"/>
        </w:rPr>
        <w:t>基础信息完善性</w:t>
      </w:r>
    </w:p>
    <w:p w14:paraId="41B34640">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会计核算规范、</w:t>
      </w:r>
      <w:r>
        <w:rPr>
          <w:rFonts w:ascii="仿宋_GB2312" w:hAnsi="宋体" w:eastAsia="仿宋_GB2312" w:cs="宋体"/>
          <w:color w:val="000000"/>
          <w:kern w:val="0"/>
          <w:sz w:val="32"/>
          <w:szCs w:val="32"/>
        </w:rPr>
        <w:t>基础信息</w:t>
      </w:r>
      <w:r>
        <w:rPr>
          <w:rFonts w:hint="eastAsia" w:ascii="仿宋_GB2312" w:hAnsi="宋体" w:eastAsia="仿宋_GB2312" w:cs="宋体"/>
          <w:color w:val="000000"/>
          <w:kern w:val="0"/>
          <w:sz w:val="32"/>
          <w:szCs w:val="32"/>
        </w:rPr>
        <w:t>真实，按规定设专账核算，支出凭证及其他核算均符合相关规定，按标准支出，不存在虚列支出、无截留、挤占、挪用资金等情况。</w:t>
      </w:r>
    </w:p>
    <w:p w14:paraId="192ABA13">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（二）资产管理</w:t>
      </w:r>
    </w:p>
    <w:p w14:paraId="3A33C2FE">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严格按照市财政局资产管理相关规定执行，资产安全完整、资产配置合理，资产使用和资产处置符合相关规定。</w:t>
      </w:r>
    </w:p>
    <w:p w14:paraId="07152539">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（三）绩效</w:t>
      </w:r>
      <w:r>
        <w:rPr>
          <w:rFonts w:ascii="楷体_GB2312" w:eastAsia="楷体_GB2312"/>
          <w:sz w:val="32"/>
          <w:szCs w:val="32"/>
        </w:rPr>
        <w:t>管理</w:t>
      </w:r>
    </w:p>
    <w:p w14:paraId="3B15BC83">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严格按照绩效运行监控机制对项目资金使用及项目执行进度进行有效的监控并及时进行矫正。</w:t>
      </w:r>
    </w:p>
    <w:p w14:paraId="2832D4FE">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（四）结转结余率</w:t>
      </w:r>
    </w:p>
    <w:p w14:paraId="2350EC61">
      <w:pPr>
        <w:spacing w:line="600" w:lineRule="exact"/>
        <w:ind w:left="105" w:leftChars="50" w:firstLine="480" w:firstLineChars="15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结转结余率低于上年。20</w:t>
      </w:r>
      <w:r>
        <w:rPr>
          <w:rFonts w:ascii="仿宋_GB2312" w:hAnsi="宋体" w:eastAsia="仿宋_GB2312" w:cs="宋体"/>
          <w:color w:val="000000"/>
          <w:kern w:val="0"/>
          <w:sz w:val="32"/>
          <w:szCs w:val="32"/>
        </w:rPr>
        <w:t>23</w:t>
      </w:r>
      <w:r>
        <w:rPr>
          <w:rFonts w:hint="eastAsia" w:ascii="仿宋_GB2312" w:hAnsi="宋体" w:eastAsia="仿宋_GB2312" w:cs="宋体"/>
          <w:color w:val="000000"/>
          <w:kern w:val="0"/>
          <w:sz w:val="32"/>
          <w:szCs w:val="32"/>
        </w:rPr>
        <w:t>年我单位财政拨款结转结余总额为</w:t>
      </w:r>
      <w:r>
        <w:rPr>
          <w:rFonts w:ascii="仿宋_GB2312" w:hAnsi="宋体" w:eastAsia="仿宋_GB2312" w:cs="宋体"/>
          <w:color w:val="000000"/>
          <w:kern w:val="0"/>
          <w:sz w:val="32"/>
          <w:szCs w:val="32"/>
        </w:rPr>
        <w:t>431</w:t>
      </w:r>
      <w:r>
        <w:rPr>
          <w:rFonts w:hint="eastAsia" w:ascii="仿宋_GB2312" w:hAnsi="宋体" w:eastAsia="仿宋_GB2312" w:cs="宋体"/>
          <w:color w:val="000000"/>
          <w:kern w:val="0"/>
          <w:sz w:val="32"/>
          <w:szCs w:val="32"/>
        </w:rPr>
        <w:t>万元，结转结余率为</w:t>
      </w:r>
      <w:r>
        <w:rPr>
          <w:rFonts w:ascii="仿宋_GB2312" w:hAnsi="宋体" w:eastAsia="仿宋_GB2312" w:cs="宋体"/>
          <w:color w:val="000000"/>
          <w:kern w:val="0"/>
          <w:sz w:val="32"/>
          <w:szCs w:val="32"/>
        </w:rPr>
        <w:t>4.87</w:t>
      </w:r>
      <w:r>
        <w:rPr>
          <w:rFonts w:hint="eastAsia" w:ascii="仿宋_GB2312" w:hAnsi="宋体" w:eastAsia="仿宋_GB2312" w:cs="宋体"/>
          <w:color w:val="000000"/>
          <w:kern w:val="0"/>
          <w:sz w:val="32"/>
          <w:szCs w:val="32"/>
        </w:rPr>
        <w:t>%。2024年</w:t>
      </w:r>
      <w:r>
        <w:rPr>
          <w:rFonts w:ascii="仿宋_GB2312" w:hAnsi="宋体" w:eastAsia="仿宋_GB2312" w:cs="宋体"/>
          <w:color w:val="000000"/>
          <w:kern w:val="0"/>
          <w:sz w:val="32"/>
          <w:szCs w:val="32"/>
        </w:rPr>
        <w:t>我单位</w:t>
      </w:r>
      <w:r>
        <w:rPr>
          <w:rFonts w:hint="eastAsia" w:ascii="仿宋_GB2312" w:hAnsi="宋体" w:eastAsia="仿宋_GB2312" w:cs="宋体"/>
          <w:color w:val="000000"/>
          <w:kern w:val="0"/>
          <w:sz w:val="32"/>
          <w:szCs w:val="32"/>
        </w:rPr>
        <w:t>财政拨款结转结余总额为</w:t>
      </w:r>
      <w:r>
        <w:rPr>
          <w:rFonts w:ascii="仿宋_GB2312" w:hAnsi="宋体" w:eastAsia="仿宋_GB2312" w:cs="宋体"/>
          <w:color w:val="000000"/>
          <w:kern w:val="0"/>
          <w:sz w:val="32"/>
          <w:szCs w:val="32"/>
        </w:rPr>
        <w:t>382.09</w:t>
      </w:r>
      <w:r>
        <w:rPr>
          <w:rFonts w:hint="eastAsia" w:ascii="仿宋_GB2312" w:hAnsi="宋体" w:eastAsia="仿宋_GB2312" w:cs="宋体"/>
          <w:color w:val="000000"/>
          <w:kern w:val="0"/>
          <w:sz w:val="32"/>
          <w:szCs w:val="32"/>
        </w:rPr>
        <w:t>万元，结转结余率为</w:t>
      </w:r>
      <w:r>
        <w:rPr>
          <w:rFonts w:ascii="仿宋_GB2312" w:hAnsi="宋体" w:eastAsia="仿宋_GB2312" w:cs="宋体"/>
          <w:color w:val="000000"/>
          <w:kern w:val="0"/>
          <w:sz w:val="32"/>
          <w:szCs w:val="32"/>
        </w:rPr>
        <w:t>4.21</w:t>
      </w:r>
      <w:r>
        <w:rPr>
          <w:rFonts w:hint="eastAsia" w:ascii="仿宋_GB2312" w:hAnsi="宋体" w:eastAsia="仿宋_GB2312" w:cs="宋体"/>
          <w:color w:val="000000"/>
          <w:kern w:val="0"/>
          <w:sz w:val="32"/>
          <w:szCs w:val="32"/>
        </w:rPr>
        <w:t>%。</w:t>
      </w:r>
    </w:p>
    <w:p w14:paraId="1C019FBE">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（五）部门</w:t>
      </w:r>
      <w:r>
        <w:rPr>
          <w:rFonts w:ascii="楷体_GB2312" w:eastAsia="楷体_GB2312"/>
          <w:sz w:val="32"/>
          <w:szCs w:val="32"/>
        </w:rPr>
        <w:t>预决算差异率</w:t>
      </w:r>
    </w:p>
    <w:p w14:paraId="18C10BA8">
      <w:pPr>
        <w:spacing w:line="600" w:lineRule="exact"/>
        <w:ind w:left="105" w:leftChars="50" w:firstLine="480" w:firstLineChars="150"/>
        <w:rPr>
          <w:rFonts w:ascii="楷体_GB2312" w:eastAsia="仿宋_GB2312"/>
          <w:sz w:val="32"/>
          <w:szCs w:val="32"/>
        </w:rPr>
      </w:pPr>
      <w:r>
        <w:rPr>
          <w:rFonts w:hint="eastAsia" w:ascii="仿宋_GB2312" w:hAnsi="宋体" w:eastAsia="仿宋_GB2312" w:cs="宋体"/>
          <w:color w:val="000000"/>
          <w:kern w:val="0"/>
          <w:sz w:val="32"/>
          <w:szCs w:val="32"/>
        </w:rPr>
        <w:t>202</w:t>
      </w:r>
      <w:r>
        <w:rPr>
          <w:rFonts w:ascii="仿宋_GB2312" w:hAnsi="宋体" w:eastAsia="仿宋_GB2312" w:cs="宋体"/>
          <w:color w:val="000000"/>
          <w:kern w:val="0"/>
          <w:sz w:val="32"/>
          <w:szCs w:val="32"/>
        </w:rPr>
        <w:t>4</w:t>
      </w:r>
      <w:r>
        <w:rPr>
          <w:rFonts w:hint="eastAsia" w:ascii="仿宋_GB2312" w:hAnsi="宋体" w:eastAsia="仿宋_GB2312" w:cs="宋体"/>
          <w:color w:val="000000"/>
          <w:kern w:val="0"/>
          <w:sz w:val="32"/>
          <w:szCs w:val="32"/>
        </w:rPr>
        <w:t>年度部门决算为</w:t>
      </w:r>
      <w:r>
        <w:rPr>
          <w:rFonts w:ascii="仿宋_GB2312" w:hAnsi="宋体" w:eastAsia="仿宋_GB2312" w:cs="宋体"/>
          <w:color w:val="000000"/>
          <w:kern w:val="0"/>
          <w:sz w:val="32"/>
          <w:szCs w:val="32"/>
        </w:rPr>
        <w:t>9069.91</w:t>
      </w:r>
      <w:r>
        <w:rPr>
          <w:rFonts w:hint="eastAsia" w:ascii="仿宋_GB2312" w:hAnsi="宋体" w:eastAsia="仿宋_GB2312" w:cs="宋体"/>
          <w:color w:val="000000"/>
          <w:kern w:val="0"/>
          <w:sz w:val="32"/>
          <w:szCs w:val="32"/>
        </w:rPr>
        <w:t>万元，年初部门预算为</w:t>
      </w:r>
      <w:r>
        <w:rPr>
          <w:rFonts w:ascii="仿宋_GB2312" w:hAnsi="宋体" w:eastAsia="仿宋_GB2312" w:cs="宋体"/>
          <w:color w:val="000000"/>
          <w:kern w:val="0"/>
          <w:sz w:val="32"/>
          <w:szCs w:val="32"/>
        </w:rPr>
        <w:t>9705.5</w:t>
      </w:r>
      <w:r>
        <w:rPr>
          <w:rFonts w:hint="eastAsia" w:ascii="仿宋_GB2312" w:hAnsi="宋体" w:eastAsia="仿宋_GB2312" w:cs="宋体"/>
          <w:color w:val="000000"/>
          <w:kern w:val="0"/>
          <w:sz w:val="32"/>
          <w:szCs w:val="32"/>
        </w:rPr>
        <w:t>万元，差异率为</w:t>
      </w:r>
      <w:r>
        <w:rPr>
          <w:rFonts w:ascii="仿宋_GB2312" w:hAnsi="宋体" w:eastAsia="仿宋_GB2312" w:cs="宋体"/>
          <w:color w:val="000000"/>
          <w:kern w:val="0"/>
          <w:sz w:val="32"/>
          <w:szCs w:val="32"/>
        </w:rPr>
        <w:t>6.55</w:t>
      </w:r>
      <w:r>
        <w:rPr>
          <w:rFonts w:hint="eastAsia" w:ascii="仿宋_GB2312" w:hAnsi="宋体" w:eastAsia="仿宋_GB2312" w:cs="宋体"/>
          <w:color w:val="000000"/>
          <w:kern w:val="0"/>
          <w:sz w:val="32"/>
          <w:szCs w:val="32"/>
        </w:rPr>
        <w:t>%</w:t>
      </w:r>
      <w:r>
        <w:rPr>
          <w:rFonts w:ascii="仿宋_GB2312" w:hAnsi="宋体" w:eastAsia="仿宋_GB2312" w:cs="宋体"/>
          <w:color w:val="000000"/>
          <w:kern w:val="0"/>
          <w:sz w:val="32"/>
          <w:szCs w:val="32"/>
        </w:rPr>
        <w:t>,</w:t>
      </w:r>
      <w:r>
        <w:rPr>
          <w:rFonts w:hint="eastAsia" w:ascii="仿宋_GB2312" w:hAnsi="仿宋_GB2312" w:eastAsia="仿宋_GB2312" w:cs="仿宋_GB2312"/>
          <w:sz w:val="32"/>
          <w:szCs w:val="32"/>
        </w:rPr>
        <w:t>部门预决算差异率控制情况较好</w:t>
      </w:r>
      <w:r>
        <w:rPr>
          <w:rFonts w:hint="eastAsia" w:ascii="仿宋_GB2312" w:hAnsi="宋体" w:eastAsia="仿宋_GB2312" w:cs="宋体"/>
          <w:color w:val="000000"/>
          <w:kern w:val="0"/>
          <w:sz w:val="32"/>
          <w:szCs w:val="32"/>
        </w:rPr>
        <w:t>。</w:t>
      </w:r>
    </w:p>
    <w:p w14:paraId="125EBAED">
      <w:pPr>
        <w:spacing w:line="600" w:lineRule="exact"/>
        <w:ind w:left="105" w:leftChars="50" w:firstLine="480" w:firstLineChars="150"/>
        <w:rPr>
          <w:rFonts w:ascii="黑体" w:hAnsi="黑体" w:eastAsia="黑体"/>
          <w:sz w:val="32"/>
          <w:szCs w:val="32"/>
        </w:rPr>
      </w:pPr>
      <w:r>
        <w:rPr>
          <w:rFonts w:hint="eastAsia" w:ascii="黑体" w:hAnsi="黑体" w:eastAsia="黑体"/>
          <w:sz w:val="32"/>
          <w:szCs w:val="32"/>
        </w:rPr>
        <w:t>五、总体</w:t>
      </w:r>
      <w:r>
        <w:rPr>
          <w:rFonts w:ascii="黑体" w:hAnsi="黑体" w:eastAsia="黑体"/>
          <w:sz w:val="32"/>
          <w:szCs w:val="32"/>
        </w:rPr>
        <w:t>评价结论</w:t>
      </w:r>
    </w:p>
    <w:p w14:paraId="01174AB7">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（一）评价</w:t>
      </w:r>
      <w:r>
        <w:rPr>
          <w:rFonts w:ascii="楷体_GB2312" w:eastAsia="楷体_GB2312"/>
          <w:sz w:val="32"/>
          <w:szCs w:val="32"/>
        </w:rPr>
        <w:t>得分</w:t>
      </w:r>
      <w:r>
        <w:rPr>
          <w:rFonts w:hint="eastAsia" w:ascii="楷体_GB2312" w:eastAsia="楷体_GB2312"/>
          <w:sz w:val="32"/>
          <w:szCs w:val="32"/>
        </w:rPr>
        <w:t>情况</w:t>
      </w:r>
    </w:p>
    <w:p w14:paraId="56792898">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2024年，市信访办在市委、市政府正确领导，坚持以习近平新时代中国特色社会主义思想为指导，深入学习贯彻党的二十大精神，认真贯彻落实习近平法治思想、习近平总书记关于加强和改进人民信访工作的重要思想，科学把握工作定位，持续优化效能管理，较好地完成了全年各项工作目标任务。根据市财政局制定的部门整体支出绩效评价指标体系框架及评分标准，同时结合市信访办的实际情况，经综合评价后，市信访办的部门整体绩效评价综合得分97.16分，绩效级别评定为“优”。有关绩效评价结论，如下表所示：</w:t>
      </w:r>
    </w:p>
    <w:tbl>
      <w:tblPr>
        <w:tblStyle w:val="5"/>
        <w:tblW w:w="8522" w:type="dxa"/>
        <w:jc w:val="center"/>
        <w:tblBorders>
          <w:top w:val="single" w:color="auto" w:sz="4" w:space="0"/>
          <w:left w:val="single" w:color="auto" w:sz="4" w:space="0"/>
          <w:bottom w:val="single" w:color="auto" w:sz="4" w:space="0"/>
          <w:right w:val="single" w:color="auto" w:sz="4" w:space="0"/>
          <w:insideH w:val="dotted" w:color="auto" w:sz="4" w:space="0"/>
          <w:insideV w:val="dotted" w:color="auto" w:sz="4" w:space="0"/>
        </w:tblBorders>
        <w:tblLayout w:type="fixed"/>
        <w:tblCellMar>
          <w:top w:w="0" w:type="dxa"/>
          <w:left w:w="108" w:type="dxa"/>
          <w:bottom w:w="0" w:type="dxa"/>
          <w:right w:w="108" w:type="dxa"/>
        </w:tblCellMar>
      </w:tblPr>
      <w:tblGrid>
        <w:gridCol w:w="3216"/>
        <w:gridCol w:w="2442"/>
        <w:gridCol w:w="2864"/>
      </w:tblGrid>
      <w:tr w14:paraId="51CC991B">
        <w:tblPrEx>
          <w:tblBorders>
            <w:top w:val="single" w:color="auto" w:sz="4" w:space="0"/>
            <w:left w:val="single" w:color="auto" w:sz="4" w:space="0"/>
            <w:bottom w:val="single" w:color="auto" w:sz="4" w:space="0"/>
            <w:right w:val="single"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3216" w:type="dxa"/>
            <w:vAlign w:val="center"/>
          </w:tcPr>
          <w:p w14:paraId="174AA503">
            <w:pPr>
              <w:adjustRightInd w:val="0"/>
              <w:snapToGrid w:val="0"/>
              <w:spacing w:line="52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评价内容</w:t>
            </w:r>
          </w:p>
        </w:tc>
        <w:tc>
          <w:tcPr>
            <w:tcW w:w="2442" w:type="dxa"/>
            <w:vAlign w:val="center"/>
          </w:tcPr>
          <w:p w14:paraId="2AD11E39">
            <w:pPr>
              <w:adjustRightInd w:val="0"/>
              <w:snapToGrid w:val="0"/>
              <w:spacing w:line="52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分值</w:t>
            </w:r>
          </w:p>
        </w:tc>
        <w:tc>
          <w:tcPr>
            <w:tcW w:w="2864" w:type="dxa"/>
            <w:vAlign w:val="center"/>
          </w:tcPr>
          <w:p w14:paraId="2EAA5295">
            <w:pPr>
              <w:adjustRightInd w:val="0"/>
              <w:snapToGrid w:val="0"/>
              <w:spacing w:line="52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评价得分</w:t>
            </w:r>
          </w:p>
        </w:tc>
      </w:tr>
      <w:tr w14:paraId="71C5FE43">
        <w:tblPrEx>
          <w:tblBorders>
            <w:top w:val="single" w:color="auto" w:sz="4" w:space="0"/>
            <w:left w:val="single" w:color="auto" w:sz="4" w:space="0"/>
            <w:bottom w:val="single" w:color="auto" w:sz="4" w:space="0"/>
            <w:right w:val="single"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3216" w:type="dxa"/>
            <w:vAlign w:val="center"/>
          </w:tcPr>
          <w:p w14:paraId="3C392A7D">
            <w:pPr>
              <w:adjustRightInd w:val="0"/>
              <w:snapToGrid w:val="0"/>
              <w:spacing w:line="52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当年预算执行情况</w:t>
            </w:r>
          </w:p>
        </w:tc>
        <w:tc>
          <w:tcPr>
            <w:tcW w:w="2442" w:type="dxa"/>
            <w:vAlign w:val="center"/>
          </w:tcPr>
          <w:p w14:paraId="475000FB">
            <w:pPr>
              <w:adjustRightInd w:val="0"/>
              <w:snapToGrid w:val="0"/>
              <w:spacing w:line="52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20</w:t>
            </w:r>
          </w:p>
        </w:tc>
        <w:tc>
          <w:tcPr>
            <w:tcW w:w="2864" w:type="dxa"/>
            <w:vAlign w:val="center"/>
          </w:tcPr>
          <w:p w14:paraId="2E0B96AA">
            <w:pPr>
              <w:adjustRightInd w:val="0"/>
              <w:snapToGrid w:val="0"/>
              <w:spacing w:line="52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19.16</w:t>
            </w:r>
          </w:p>
        </w:tc>
      </w:tr>
      <w:tr w14:paraId="7A315C54">
        <w:tblPrEx>
          <w:tblBorders>
            <w:top w:val="single" w:color="auto" w:sz="4" w:space="0"/>
            <w:left w:val="single" w:color="auto" w:sz="4" w:space="0"/>
            <w:bottom w:val="single" w:color="auto" w:sz="4" w:space="0"/>
            <w:right w:val="single"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3216" w:type="dxa"/>
            <w:vAlign w:val="center"/>
          </w:tcPr>
          <w:p w14:paraId="44984B61">
            <w:pPr>
              <w:adjustRightInd w:val="0"/>
              <w:snapToGrid w:val="0"/>
              <w:spacing w:line="52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整体绩效目标实现情况</w:t>
            </w:r>
          </w:p>
        </w:tc>
        <w:tc>
          <w:tcPr>
            <w:tcW w:w="2442" w:type="dxa"/>
            <w:vAlign w:val="center"/>
          </w:tcPr>
          <w:p w14:paraId="16D06130">
            <w:pPr>
              <w:adjustRightInd w:val="0"/>
              <w:snapToGrid w:val="0"/>
              <w:spacing w:line="52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60</w:t>
            </w:r>
          </w:p>
        </w:tc>
        <w:tc>
          <w:tcPr>
            <w:tcW w:w="2864" w:type="dxa"/>
            <w:vAlign w:val="center"/>
          </w:tcPr>
          <w:p w14:paraId="302B47B2">
            <w:pPr>
              <w:adjustRightInd w:val="0"/>
              <w:snapToGrid w:val="0"/>
              <w:spacing w:line="52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58</w:t>
            </w:r>
          </w:p>
        </w:tc>
      </w:tr>
      <w:tr w14:paraId="3171B9F1">
        <w:tblPrEx>
          <w:tblBorders>
            <w:top w:val="single" w:color="auto" w:sz="4" w:space="0"/>
            <w:left w:val="single" w:color="auto" w:sz="4" w:space="0"/>
            <w:bottom w:val="single" w:color="auto" w:sz="4" w:space="0"/>
            <w:right w:val="single"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3216" w:type="dxa"/>
            <w:vAlign w:val="center"/>
          </w:tcPr>
          <w:p w14:paraId="6817F533">
            <w:pPr>
              <w:adjustRightInd w:val="0"/>
              <w:snapToGrid w:val="0"/>
              <w:spacing w:line="52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预算管理情况</w:t>
            </w:r>
          </w:p>
        </w:tc>
        <w:tc>
          <w:tcPr>
            <w:tcW w:w="2442" w:type="dxa"/>
            <w:vAlign w:val="center"/>
          </w:tcPr>
          <w:p w14:paraId="2A9EB932">
            <w:pPr>
              <w:adjustRightInd w:val="0"/>
              <w:snapToGrid w:val="0"/>
              <w:spacing w:line="52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20</w:t>
            </w:r>
          </w:p>
        </w:tc>
        <w:tc>
          <w:tcPr>
            <w:tcW w:w="2864" w:type="dxa"/>
            <w:vAlign w:val="center"/>
          </w:tcPr>
          <w:p w14:paraId="1C82F4C0">
            <w:pPr>
              <w:adjustRightInd w:val="0"/>
              <w:snapToGrid w:val="0"/>
              <w:spacing w:line="52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20</w:t>
            </w:r>
          </w:p>
        </w:tc>
      </w:tr>
      <w:tr w14:paraId="039C9645">
        <w:tblPrEx>
          <w:tblBorders>
            <w:top w:val="single" w:color="auto" w:sz="4" w:space="0"/>
            <w:left w:val="single" w:color="auto" w:sz="4" w:space="0"/>
            <w:bottom w:val="single" w:color="auto" w:sz="4" w:space="0"/>
            <w:right w:val="single"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3216" w:type="dxa"/>
            <w:vAlign w:val="center"/>
          </w:tcPr>
          <w:p w14:paraId="46D55B8F">
            <w:pPr>
              <w:adjustRightInd w:val="0"/>
              <w:snapToGrid w:val="0"/>
              <w:spacing w:line="52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合 计</w:t>
            </w:r>
          </w:p>
        </w:tc>
        <w:tc>
          <w:tcPr>
            <w:tcW w:w="2442" w:type="dxa"/>
            <w:vAlign w:val="center"/>
          </w:tcPr>
          <w:p w14:paraId="7A99AF03">
            <w:pPr>
              <w:adjustRightInd w:val="0"/>
              <w:snapToGrid w:val="0"/>
              <w:spacing w:line="52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100</w:t>
            </w:r>
          </w:p>
        </w:tc>
        <w:tc>
          <w:tcPr>
            <w:tcW w:w="2864" w:type="dxa"/>
            <w:vAlign w:val="center"/>
          </w:tcPr>
          <w:p w14:paraId="35E9C192">
            <w:pPr>
              <w:adjustRightInd w:val="0"/>
              <w:snapToGrid w:val="0"/>
              <w:spacing w:line="52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97.16</w:t>
            </w:r>
          </w:p>
        </w:tc>
      </w:tr>
      <w:tr w14:paraId="579FA623">
        <w:tblPrEx>
          <w:tblBorders>
            <w:top w:val="single" w:color="auto" w:sz="4" w:space="0"/>
            <w:left w:val="single" w:color="auto" w:sz="4" w:space="0"/>
            <w:bottom w:val="single" w:color="auto" w:sz="4" w:space="0"/>
            <w:right w:val="single"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3216" w:type="dxa"/>
            <w:vAlign w:val="center"/>
          </w:tcPr>
          <w:p w14:paraId="593D31C8">
            <w:pPr>
              <w:adjustRightInd w:val="0"/>
              <w:snapToGrid w:val="0"/>
              <w:spacing w:line="52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绩效评定级别</w:t>
            </w:r>
          </w:p>
        </w:tc>
        <w:tc>
          <w:tcPr>
            <w:tcW w:w="5306" w:type="dxa"/>
            <w:gridSpan w:val="2"/>
            <w:vAlign w:val="center"/>
          </w:tcPr>
          <w:p w14:paraId="066CB1DA">
            <w:pPr>
              <w:adjustRightInd w:val="0"/>
              <w:snapToGrid w:val="0"/>
              <w:spacing w:line="52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优</w:t>
            </w:r>
          </w:p>
        </w:tc>
      </w:tr>
    </w:tbl>
    <w:p w14:paraId="62150C94">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（二）存在的问题及原因分析</w:t>
      </w:r>
    </w:p>
    <w:p w14:paraId="68EE8B42">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w:t>
      </w:r>
      <w:r>
        <w:rPr>
          <w:rFonts w:hint="eastAsia" w:ascii="仿宋_GB2312" w:hAnsi="仿宋_GB2312" w:eastAsia="仿宋_GB2312" w:cs="仿宋_GB2312"/>
          <w:sz w:val="32"/>
          <w:szCs w:val="32"/>
        </w:rPr>
        <w:t>部门整体绩效目标不够细化。市信访办目前整体绩效目标设定主要依据部门职责和年度重点工作任务，但因承担的信访保障业务类别多样，整体绩效目标要达到全面性和精准化的难度较大，整体绩效目标设定的科学性、明确性以及细化程度有待进一步提高。</w:t>
      </w:r>
    </w:p>
    <w:p w14:paraId="4F21CD54">
      <w:pPr>
        <w:spacing w:line="600" w:lineRule="exact"/>
        <w:ind w:left="105" w:leftChars="50" w:firstLine="480" w:firstLineChars="150"/>
        <w:rPr>
          <w:rFonts w:ascii="楷体_GB2312" w:eastAsia="楷体_GB2312"/>
          <w:sz w:val="32"/>
          <w:szCs w:val="32"/>
        </w:rPr>
      </w:pPr>
      <w:r>
        <w:rPr>
          <w:rFonts w:hint="eastAsia" w:ascii="仿宋_GB2312" w:hAnsi="宋体" w:eastAsia="仿宋_GB2312" w:cs="宋体"/>
          <w:color w:val="000000"/>
          <w:kern w:val="0"/>
          <w:sz w:val="32"/>
          <w:szCs w:val="32"/>
        </w:rPr>
        <w:t>2.绩效指标体系建设有待进一步加强。对照预算绩效管理体系要求，</w:t>
      </w:r>
      <w:r>
        <w:rPr>
          <w:rFonts w:hint="eastAsia" w:ascii="仿宋_GB2312" w:hAnsi="仿宋_GB2312" w:eastAsia="仿宋_GB2312" w:cs="仿宋_GB2312"/>
          <w:sz w:val="32"/>
          <w:szCs w:val="32"/>
        </w:rPr>
        <w:t>《部门整体绩效目标申报表》填报还不够细化，部门产出和效果指标设置量化程度不够，不利于后期考核。部分项目绩效指标设置不够合理，效益指标，内容设置宽泛，可衡量性不足，有待进一步完善。</w:t>
      </w:r>
    </w:p>
    <w:p w14:paraId="2545F947">
      <w:pPr>
        <w:spacing w:line="600" w:lineRule="exact"/>
        <w:ind w:firstLine="640" w:firstLineChars="200"/>
        <w:rPr>
          <w:rFonts w:ascii="仿宋_GB2312" w:hAnsi="宋体" w:eastAsia="仿宋_GB2312" w:cs="宋体"/>
          <w:color w:val="000000"/>
          <w:kern w:val="0"/>
          <w:sz w:val="32"/>
          <w:szCs w:val="32"/>
        </w:rPr>
      </w:pPr>
      <w:r>
        <w:rPr>
          <w:rFonts w:hint="eastAsia" w:ascii="黑体" w:hAnsi="黑体" w:eastAsia="黑体" w:cs="宋体"/>
          <w:color w:val="000000"/>
          <w:kern w:val="0"/>
          <w:sz w:val="32"/>
          <w:szCs w:val="32"/>
        </w:rPr>
        <w:t>六、措施建议</w:t>
      </w:r>
    </w:p>
    <w:p w14:paraId="0164F51D">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今后将重点针对存在的问题，做好以下</w:t>
      </w:r>
      <w:r>
        <w:rPr>
          <w:rFonts w:ascii="仿宋_GB2312" w:hAnsi="宋体" w:eastAsia="仿宋_GB2312" w:cs="宋体"/>
          <w:color w:val="000000"/>
          <w:kern w:val="0"/>
          <w:sz w:val="32"/>
          <w:szCs w:val="32"/>
        </w:rPr>
        <w:t>两个方面的管理</w:t>
      </w:r>
      <w:r>
        <w:rPr>
          <w:rFonts w:hint="eastAsia" w:ascii="仿宋_GB2312" w:hAnsi="宋体" w:eastAsia="仿宋_GB2312" w:cs="宋体"/>
          <w:color w:val="000000"/>
          <w:kern w:val="0"/>
          <w:sz w:val="32"/>
          <w:szCs w:val="32"/>
        </w:rPr>
        <w:t>：</w:t>
      </w:r>
    </w:p>
    <w:p w14:paraId="00E71608">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一是充分发挥整体绩效目标的统领</w:t>
      </w:r>
      <w:r>
        <w:rPr>
          <w:rFonts w:ascii="仿宋_GB2312" w:hAnsi="宋体" w:eastAsia="仿宋_GB2312" w:cs="宋体"/>
          <w:color w:val="000000"/>
          <w:kern w:val="0"/>
          <w:sz w:val="32"/>
          <w:szCs w:val="32"/>
        </w:rPr>
        <w:t>作用</w:t>
      </w:r>
      <w:r>
        <w:rPr>
          <w:rFonts w:hint="eastAsia" w:ascii="仿宋_GB2312" w:hAnsi="宋体" w:eastAsia="仿宋_GB2312" w:cs="宋体"/>
          <w:color w:val="000000"/>
          <w:kern w:val="0"/>
          <w:sz w:val="32"/>
          <w:szCs w:val="32"/>
        </w:rPr>
        <w:t>。在</w:t>
      </w:r>
      <w:r>
        <w:rPr>
          <w:rFonts w:ascii="仿宋_GB2312" w:hAnsi="宋体" w:eastAsia="仿宋_GB2312" w:cs="宋体"/>
          <w:color w:val="000000"/>
          <w:kern w:val="0"/>
          <w:sz w:val="32"/>
          <w:szCs w:val="32"/>
        </w:rPr>
        <w:t>编制</w:t>
      </w:r>
      <w:r>
        <w:rPr>
          <w:rFonts w:hint="eastAsia" w:ascii="仿宋_GB2312" w:hAnsi="宋体" w:eastAsia="仿宋_GB2312" w:cs="宋体"/>
          <w:color w:val="000000"/>
          <w:kern w:val="0"/>
          <w:sz w:val="32"/>
          <w:szCs w:val="32"/>
        </w:rPr>
        <w:t>年度</w:t>
      </w:r>
      <w:r>
        <w:rPr>
          <w:rFonts w:ascii="仿宋_GB2312" w:hAnsi="宋体" w:eastAsia="仿宋_GB2312" w:cs="宋体"/>
          <w:color w:val="000000"/>
          <w:kern w:val="0"/>
          <w:sz w:val="32"/>
          <w:szCs w:val="32"/>
        </w:rPr>
        <w:t>预算</w:t>
      </w:r>
      <w:r>
        <w:rPr>
          <w:rFonts w:hint="eastAsia" w:ascii="仿宋_GB2312" w:hAnsi="宋体" w:eastAsia="仿宋_GB2312" w:cs="宋体"/>
          <w:color w:val="000000"/>
          <w:kern w:val="0"/>
          <w:sz w:val="32"/>
          <w:szCs w:val="32"/>
        </w:rPr>
        <w:t>时</w:t>
      </w:r>
      <w:r>
        <w:rPr>
          <w:rFonts w:ascii="仿宋_GB2312" w:hAnsi="宋体" w:eastAsia="仿宋_GB2312" w:cs="宋体"/>
          <w:color w:val="000000"/>
          <w:kern w:val="0"/>
          <w:sz w:val="32"/>
          <w:szCs w:val="32"/>
        </w:rPr>
        <w:t>要进一步</w:t>
      </w:r>
      <w:r>
        <w:rPr>
          <w:rFonts w:hint="eastAsia" w:ascii="仿宋_GB2312" w:hAnsi="宋体" w:eastAsia="仿宋_GB2312" w:cs="宋体"/>
          <w:color w:val="000000"/>
          <w:kern w:val="0"/>
          <w:sz w:val="32"/>
          <w:szCs w:val="32"/>
        </w:rPr>
        <w:t>科学、合理、规范地设定部门绩效目标，以部门的职能定位和年度工作任务作为切入点，全面反映部门绩效，并将各相关职能或工作内容反映在分项指标中，细化、量化绩效指标。</w:t>
      </w:r>
    </w:p>
    <w:p w14:paraId="66DF99FA">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二是要进一步加强预算绩效管理。首先开展预算绩效指标体系设计，完善全局部门整体支出绩效和项目支出绩效评价指标体系框架。其次针对每个项目特点，深入挖掘每个项目的产出和效益，把项目的实际产出和效益能直观体现在绩效指标上。最后加强业务处室（中心）相关人员绩效意识，调动绩效管理的积极性，让项目实施相关人员认识绩效评价的意义，掌握绩效管理的要点，在实施过程中形成符合</w:t>
      </w:r>
      <w:r>
        <w:rPr>
          <w:rFonts w:ascii="仿宋_GB2312" w:hAnsi="宋体" w:eastAsia="仿宋_GB2312" w:cs="宋体"/>
          <w:color w:val="000000"/>
          <w:kern w:val="0"/>
          <w:sz w:val="32"/>
          <w:szCs w:val="32"/>
        </w:rPr>
        <w:t>项目</w:t>
      </w:r>
      <w:r>
        <w:rPr>
          <w:rFonts w:hint="eastAsia" w:ascii="仿宋_GB2312" w:hAnsi="宋体" w:eastAsia="仿宋_GB2312" w:cs="宋体"/>
          <w:color w:val="000000"/>
          <w:kern w:val="0"/>
          <w:sz w:val="32"/>
          <w:szCs w:val="32"/>
        </w:rPr>
        <w:t>特点的绩效管理模式。</w:t>
      </w:r>
    </w:p>
    <w:p w14:paraId="76CB3B07">
      <w:pPr>
        <w:spacing w:line="600" w:lineRule="exact"/>
        <w:ind w:firstLine="640" w:firstLineChars="200"/>
        <w:rPr>
          <w:rFonts w:hint="eastAsia" w:ascii="仿宋_GB2312" w:hAnsi="宋体" w:eastAsia="仿宋_GB2312" w:cs="宋体"/>
          <w:color w:val="000000"/>
          <w:kern w:val="0"/>
          <w:sz w:val="32"/>
          <w:szCs w:val="32"/>
        </w:rPr>
      </w:pPr>
    </w:p>
    <w:p w14:paraId="7EA3DFAE">
      <w:pPr>
        <w:spacing w:line="600" w:lineRule="exact"/>
        <w:ind w:firstLine="640" w:firstLineChars="200"/>
        <w:rPr>
          <w:rFonts w:hint="eastAsia" w:ascii="仿宋_GB2312" w:hAnsi="宋体" w:eastAsia="仿宋_GB2312" w:cs="宋体"/>
          <w:color w:val="000000"/>
          <w:kern w:val="0"/>
          <w:sz w:val="32"/>
          <w:szCs w:val="32"/>
        </w:rPr>
      </w:pPr>
    </w:p>
    <w:p w14:paraId="663E26C1">
      <w:pPr>
        <w:spacing w:line="600" w:lineRule="exact"/>
        <w:ind w:firstLine="640" w:firstLineChars="200"/>
        <w:rPr>
          <w:rFonts w:hint="eastAsia" w:ascii="仿宋_GB2312" w:hAnsi="宋体" w:eastAsia="仿宋_GB2312" w:cs="宋体"/>
          <w:color w:val="000000"/>
          <w:kern w:val="0"/>
          <w:sz w:val="32"/>
          <w:szCs w:val="32"/>
        </w:rPr>
      </w:pPr>
    </w:p>
    <w:p w14:paraId="25AC4867">
      <w:pPr>
        <w:spacing w:line="600" w:lineRule="exact"/>
        <w:ind w:firstLine="640" w:firstLineChars="200"/>
        <w:rPr>
          <w:rFonts w:hint="eastAsia" w:ascii="仿宋_GB2312" w:hAnsi="宋体" w:eastAsia="仿宋_GB2312" w:cs="宋体"/>
          <w:color w:val="000000"/>
          <w:kern w:val="0"/>
          <w:sz w:val="32"/>
          <w:szCs w:val="32"/>
        </w:rPr>
      </w:pPr>
    </w:p>
    <w:p w14:paraId="40AA5127">
      <w:pPr>
        <w:spacing w:line="600" w:lineRule="exact"/>
        <w:ind w:firstLine="640" w:firstLineChars="200"/>
        <w:rPr>
          <w:rFonts w:hint="eastAsia" w:ascii="仿宋_GB2312" w:hAnsi="宋体" w:eastAsia="仿宋_GB2312" w:cs="宋体"/>
          <w:color w:val="000000"/>
          <w:kern w:val="0"/>
          <w:sz w:val="32"/>
          <w:szCs w:val="32"/>
        </w:rPr>
      </w:pPr>
    </w:p>
    <w:p w14:paraId="04C2360F">
      <w:pPr>
        <w:spacing w:line="600" w:lineRule="exact"/>
        <w:ind w:firstLine="640" w:firstLineChars="200"/>
        <w:rPr>
          <w:rFonts w:hint="eastAsia" w:ascii="仿宋_GB2312" w:hAnsi="宋体" w:eastAsia="仿宋_GB2312" w:cs="宋体"/>
          <w:color w:val="000000"/>
          <w:kern w:val="0"/>
          <w:sz w:val="32"/>
          <w:szCs w:val="32"/>
        </w:rPr>
      </w:pPr>
    </w:p>
    <w:p w14:paraId="38539FD6">
      <w:pPr>
        <w:spacing w:line="600" w:lineRule="exact"/>
        <w:ind w:firstLine="640" w:firstLineChars="200"/>
        <w:rPr>
          <w:rFonts w:hint="eastAsia" w:ascii="仿宋_GB2312" w:hAnsi="宋体" w:eastAsia="仿宋_GB2312" w:cs="宋体"/>
          <w:color w:val="000000"/>
          <w:kern w:val="0"/>
          <w:sz w:val="32"/>
          <w:szCs w:val="32"/>
        </w:rPr>
      </w:pPr>
    </w:p>
    <w:p w14:paraId="109E5E44">
      <w:pPr>
        <w:spacing w:line="600" w:lineRule="exact"/>
        <w:ind w:firstLine="640" w:firstLineChars="200"/>
        <w:rPr>
          <w:rFonts w:hint="eastAsia" w:ascii="仿宋_GB2312" w:hAnsi="宋体" w:eastAsia="仿宋_GB2312" w:cs="宋体"/>
          <w:color w:val="000000"/>
          <w:kern w:val="0"/>
          <w:sz w:val="32"/>
          <w:szCs w:val="32"/>
        </w:rPr>
      </w:pPr>
    </w:p>
    <w:p w14:paraId="22DA62B4">
      <w:pPr>
        <w:spacing w:line="600" w:lineRule="exact"/>
        <w:ind w:firstLine="640" w:firstLineChars="200"/>
        <w:rPr>
          <w:rFonts w:hint="eastAsia" w:ascii="仿宋_GB2312" w:hAnsi="宋体" w:eastAsia="仿宋_GB2312" w:cs="宋体"/>
          <w:color w:val="000000"/>
          <w:kern w:val="0"/>
          <w:sz w:val="32"/>
          <w:szCs w:val="32"/>
        </w:rPr>
      </w:pPr>
    </w:p>
    <w:p w14:paraId="72BB29E5">
      <w:pPr>
        <w:spacing w:line="600" w:lineRule="exact"/>
        <w:ind w:firstLine="640" w:firstLineChars="200"/>
        <w:rPr>
          <w:rFonts w:hint="eastAsia" w:ascii="仿宋_GB2312" w:hAnsi="宋体" w:eastAsia="仿宋_GB2312" w:cs="宋体"/>
          <w:color w:val="000000"/>
          <w:kern w:val="0"/>
          <w:sz w:val="32"/>
          <w:szCs w:val="32"/>
        </w:rPr>
      </w:pPr>
    </w:p>
    <w:p w14:paraId="52072665">
      <w:pPr>
        <w:spacing w:line="600" w:lineRule="exact"/>
        <w:ind w:firstLine="640" w:firstLineChars="200"/>
        <w:rPr>
          <w:rFonts w:hint="eastAsia" w:ascii="仿宋_GB2312" w:hAnsi="宋体" w:eastAsia="仿宋_GB2312" w:cs="宋体"/>
          <w:color w:val="000000"/>
          <w:kern w:val="0"/>
          <w:sz w:val="32"/>
          <w:szCs w:val="32"/>
        </w:rPr>
      </w:pPr>
    </w:p>
    <w:p w14:paraId="19B379F3">
      <w:pPr>
        <w:spacing w:line="600" w:lineRule="exact"/>
        <w:ind w:firstLine="640" w:firstLineChars="200"/>
        <w:rPr>
          <w:rFonts w:hint="eastAsia" w:ascii="仿宋_GB2312" w:hAnsi="宋体" w:eastAsia="仿宋_GB2312" w:cs="宋体"/>
          <w:color w:val="000000"/>
          <w:kern w:val="0"/>
          <w:sz w:val="32"/>
          <w:szCs w:val="32"/>
        </w:rPr>
        <w:sectPr>
          <w:footerReference r:id="rId3" w:type="default"/>
          <w:pgSz w:w="11906" w:h="16838"/>
          <w:pgMar w:top="1440" w:right="1800" w:bottom="1440" w:left="1800" w:header="851" w:footer="992" w:gutter="0"/>
          <w:pgNumType w:fmt="numberInDash"/>
          <w:cols w:space="425" w:num="1"/>
          <w:docGrid w:type="lines" w:linePitch="312" w:charSpace="0"/>
        </w:sectPr>
      </w:pPr>
    </w:p>
    <w:tbl>
      <w:tblPr>
        <w:tblStyle w:val="5"/>
        <w:tblW w:w="801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15"/>
        <w:gridCol w:w="1470"/>
        <w:gridCol w:w="1140"/>
        <w:gridCol w:w="1155"/>
        <w:gridCol w:w="1245"/>
        <w:gridCol w:w="810"/>
        <w:gridCol w:w="975"/>
      </w:tblGrid>
      <w:tr w14:paraId="5A2D77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8010" w:type="dxa"/>
            <w:gridSpan w:val="7"/>
            <w:tcBorders>
              <w:top w:val="nil"/>
              <w:left w:val="nil"/>
              <w:bottom w:val="nil"/>
              <w:right w:val="nil"/>
            </w:tcBorders>
            <w:shd w:val="clear" w:color="auto" w:fill="auto"/>
            <w:vAlign w:val="bottom"/>
          </w:tcPr>
          <w:p w14:paraId="32ACA6FB">
            <w:pPr>
              <w:keepNext w:val="0"/>
              <w:keepLines w:val="0"/>
              <w:widowControl/>
              <w:suppressLineNumbers w:val="0"/>
              <w:jc w:val="center"/>
              <w:textAlignment w:val="bottom"/>
              <w:rPr>
                <w:rFonts w:ascii="方正小标宋简体" w:hAnsi="方正小标宋简体" w:eastAsia="方正小标宋简体" w:cs="方正小标宋简体"/>
                <w:i w:val="0"/>
                <w:iCs w:val="0"/>
                <w:color w:val="000000"/>
                <w:sz w:val="40"/>
                <w:szCs w:val="40"/>
                <w:u w:val="none"/>
              </w:rPr>
            </w:pPr>
            <w:r>
              <w:rPr>
                <w:rFonts w:hint="eastAsia" w:ascii="方正小标宋简体" w:hAnsi="方正小标宋简体" w:eastAsia="方正小标宋简体" w:cs="方正小标宋简体"/>
                <w:i w:val="0"/>
                <w:iCs w:val="0"/>
                <w:color w:val="000000"/>
                <w:kern w:val="0"/>
                <w:sz w:val="40"/>
                <w:szCs w:val="40"/>
                <w:u w:val="none"/>
                <w:lang w:val="en-US" w:eastAsia="zh-CN" w:bidi="ar"/>
              </w:rPr>
              <w:t>2024年部门整体绩效评价指标体系评分表</w:t>
            </w:r>
          </w:p>
        </w:tc>
      </w:tr>
      <w:tr w14:paraId="2E8F13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010" w:type="dxa"/>
            <w:gridSpan w:val="7"/>
            <w:tcBorders>
              <w:top w:val="single" w:color="000000" w:sz="8" w:space="0"/>
              <w:left w:val="single" w:color="000000" w:sz="8" w:space="0"/>
              <w:bottom w:val="single" w:color="000000" w:sz="4" w:space="0"/>
              <w:right w:val="single" w:color="000000" w:sz="4" w:space="0"/>
            </w:tcBorders>
            <w:shd w:val="clear" w:color="auto" w:fill="auto"/>
            <w:vAlign w:val="center"/>
          </w:tcPr>
          <w:p w14:paraId="3F91323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w:t>
            </w:r>
            <w:r>
              <w:rPr>
                <w:rStyle w:val="9"/>
                <w:lang w:val="en-US" w:eastAsia="zh-CN" w:bidi="ar"/>
              </w:rPr>
              <w:t>当年预算执行情况（20分）</w:t>
            </w:r>
          </w:p>
        </w:tc>
      </w:tr>
      <w:tr w14:paraId="6DE685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21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1E4457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　</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9B2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　</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D1B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预算数（万元）</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6B8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执行数（万元）</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604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4A6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975" w:type="dxa"/>
            <w:tcBorders>
              <w:top w:val="single" w:color="000000" w:sz="4" w:space="0"/>
              <w:left w:val="single" w:color="000000" w:sz="4" w:space="0"/>
              <w:bottom w:val="single" w:color="000000" w:sz="4" w:space="0"/>
              <w:right w:val="single" w:color="000000" w:sz="8" w:space="0"/>
            </w:tcBorders>
            <w:shd w:val="clear" w:color="auto" w:fill="auto"/>
            <w:vAlign w:val="center"/>
          </w:tcPr>
          <w:p w14:paraId="3C9048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r>
      <w:tr w14:paraId="112FD1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215" w:type="dxa"/>
            <w:vMerge w:val="restart"/>
            <w:tcBorders>
              <w:top w:val="single" w:color="000000" w:sz="4" w:space="0"/>
              <w:left w:val="single" w:color="000000" w:sz="8" w:space="0"/>
              <w:bottom w:val="single" w:color="000000" w:sz="4" w:space="0"/>
              <w:right w:val="single" w:color="000000" w:sz="4" w:space="0"/>
            </w:tcBorders>
            <w:shd w:val="clear" w:color="auto" w:fill="auto"/>
            <w:vAlign w:val="center"/>
          </w:tcPr>
          <w:p w14:paraId="62749F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当年预算执行情况（20）</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A43F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资金总体</w:t>
            </w:r>
          </w:p>
        </w:tc>
        <w:tc>
          <w:tcPr>
            <w:tcW w:w="1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A3E3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9069.91</w:t>
            </w:r>
          </w:p>
        </w:tc>
        <w:tc>
          <w:tcPr>
            <w:tcW w:w="11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1AAE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8687.82</w:t>
            </w:r>
          </w:p>
        </w:tc>
        <w:tc>
          <w:tcPr>
            <w:tcW w:w="12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6D72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95.78%</w:t>
            </w: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BD2B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75" w:type="dxa"/>
            <w:vMerge w:val="restart"/>
            <w:tcBorders>
              <w:top w:val="single" w:color="000000" w:sz="4" w:space="0"/>
              <w:left w:val="single" w:color="000000" w:sz="4" w:space="0"/>
              <w:bottom w:val="single" w:color="000000" w:sz="4" w:space="0"/>
              <w:right w:val="single" w:color="000000" w:sz="8" w:space="0"/>
            </w:tcBorders>
            <w:shd w:val="clear" w:color="auto" w:fill="auto"/>
            <w:vAlign w:val="center"/>
          </w:tcPr>
          <w:p w14:paraId="1CF820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19.16</w:t>
            </w:r>
          </w:p>
        </w:tc>
      </w:tr>
      <w:tr w14:paraId="3625B7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21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7B004EC1">
            <w:pPr>
              <w:jc w:val="center"/>
              <w:rPr>
                <w:rFonts w:hint="eastAsia" w:ascii="宋体" w:hAnsi="宋体" w:eastAsia="宋体" w:cs="宋体"/>
                <w:i w:val="0"/>
                <w:iCs w:val="0"/>
                <w:color w:val="000000"/>
                <w:sz w:val="20"/>
                <w:szCs w:val="20"/>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8D20B4">
            <w:pPr>
              <w:jc w:val="center"/>
              <w:rPr>
                <w:rFonts w:hint="eastAsia" w:ascii="宋体" w:hAnsi="宋体" w:eastAsia="宋体" w:cs="宋体"/>
                <w:i w:val="0"/>
                <w:iCs w:val="0"/>
                <w:color w:val="000000"/>
                <w:sz w:val="20"/>
                <w:szCs w:val="20"/>
                <w:u w:val="none"/>
              </w:rPr>
            </w:pPr>
          </w:p>
        </w:tc>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32C52F">
            <w:pPr>
              <w:jc w:val="center"/>
              <w:rPr>
                <w:rFonts w:hint="eastAsia" w:ascii="宋体" w:hAnsi="宋体" w:eastAsia="宋体" w:cs="宋体"/>
                <w:i w:val="0"/>
                <w:iCs w:val="0"/>
                <w:color w:val="000000"/>
                <w:sz w:val="20"/>
                <w:szCs w:val="20"/>
                <w:u w:val="none"/>
              </w:rPr>
            </w:pPr>
          </w:p>
        </w:tc>
        <w:tc>
          <w:tcPr>
            <w:tcW w:w="11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9D003E">
            <w:pPr>
              <w:jc w:val="center"/>
              <w:rPr>
                <w:rFonts w:hint="eastAsia" w:ascii="宋体" w:hAnsi="宋体" w:eastAsia="宋体" w:cs="宋体"/>
                <w:i w:val="0"/>
                <w:iCs w:val="0"/>
                <w:color w:val="000000"/>
                <w:sz w:val="20"/>
                <w:szCs w:val="20"/>
                <w:u w:val="none"/>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8312DC">
            <w:pPr>
              <w:jc w:val="center"/>
              <w:rPr>
                <w:rFonts w:hint="eastAsia" w:ascii="宋体" w:hAnsi="宋体" w:eastAsia="宋体" w:cs="宋体"/>
                <w:i w:val="0"/>
                <w:iCs w:val="0"/>
                <w:color w:val="000000"/>
                <w:sz w:val="20"/>
                <w:szCs w:val="20"/>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F90F79">
            <w:pPr>
              <w:jc w:val="center"/>
              <w:rPr>
                <w:rFonts w:hint="eastAsia" w:ascii="宋体" w:hAnsi="宋体" w:eastAsia="宋体" w:cs="宋体"/>
                <w:i w:val="0"/>
                <w:iCs w:val="0"/>
                <w:color w:val="000000"/>
                <w:sz w:val="20"/>
                <w:szCs w:val="20"/>
                <w:u w:val="none"/>
              </w:rPr>
            </w:pPr>
          </w:p>
        </w:tc>
        <w:tc>
          <w:tcPr>
            <w:tcW w:w="975" w:type="dxa"/>
            <w:vMerge w:val="continue"/>
            <w:tcBorders>
              <w:top w:val="single" w:color="000000" w:sz="4" w:space="0"/>
              <w:left w:val="single" w:color="000000" w:sz="4" w:space="0"/>
              <w:bottom w:val="single" w:color="000000" w:sz="4" w:space="0"/>
              <w:right w:val="single" w:color="000000" w:sz="8" w:space="0"/>
            </w:tcBorders>
            <w:shd w:val="clear" w:color="auto" w:fill="auto"/>
            <w:vAlign w:val="center"/>
          </w:tcPr>
          <w:p w14:paraId="4BC6CAA9">
            <w:pPr>
              <w:jc w:val="center"/>
              <w:rPr>
                <w:rFonts w:hint="eastAsia" w:ascii="宋体" w:hAnsi="宋体" w:eastAsia="宋体" w:cs="宋体"/>
                <w:i w:val="0"/>
                <w:iCs w:val="0"/>
                <w:color w:val="000000"/>
                <w:sz w:val="20"/>
                <w:szCs w:val="20"/>
                <w:u w:val="none"/>
              </w:rPr>
            </w:pPr>
          </w:p>
        </w:tc>
      </w:tr>
      <w:tr w14:paraId="0E9FF2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21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52F1DDF9">
            <w:pPr>
              <w:jc w:val="center"/>
              <w:rPr>
                <w:rFonts w:hint="eastAsia" w:ascii="宋体" w:hAnsi="宋体" w:eastAsia="宋体" w:cs="宋体"/>
                <w:i w:val="0"/>
                <w:iCs w:val="0"/>
                <w:color w:val="000000"/>
                <w:sz w:val="20"/>
                <w:szCs w:val="20"/>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1A2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基本支出</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90C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7080.82</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FE3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6889.46</w:t>
            </w:r>
          </w:p>
        </w:tc>
        <w:tc>
          <w:tcPr>
            <w:tcW w:w="12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6301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83F18D">
            <w:pPr>
              <w:jc w:val="center"/>
              <w:rPr>
                <w:rFonts w:hint="eastAsia" w:ascii="宋体" w:hAnsi="宋体" w:eastAsia="宋体" w:cs="宋体"/>
                <w:i w:val="0"/>
                <w:iCs w:val="0"/>
                <w:color w:val="000000"/>
                <w:sz w:val="20"/>
                <w:szCs w:val="20"/>
                <w:u w:val="none"/>
              </w:rPr>
            </w:pPr>
          </w:p>
        </w:tc>
        <w:tc>
          <w:tcPr>
            <w:tcW w:w="975" w:type="dxa"/>
            <w:vMerge w:val="continue"/>
            <w:tcBorders>
              <w:top w:val="single" w:color="000000" w:sz="4" w:space="0"/>
              <w:left w:val="single" w:color="000000" w:sz="4" w:space="0"/>
              <w:bottom w:val="single" w:color="000000" w:sz="4" w:space="0"/>
              <w:right w:val="single" w:color="000000" w:sz="8" w:space="0"/>
            </w:tcBorders>
            <w:shd w:val="clear" w:color="auto" w:fill="auto"/>
            <w:vAlign w:val="center"/>
          </w:tcPr>
          <w:p w14:paraId="6F26BD2D">
            <w:pPr>
              <w:jc w:val="center"/>
              <w:rPr>
                <w:rFonts w:hint="eastAsia" w:ascii="宋体" w:hAnsi="宋体" w:eastAsia="宋体" w:cs="宋体"/>
                <w:i w:val="0"/>
                <w:iCs w:val="0"/>
                <w:color w:val="000000"/>
                <w:sz w:val="20"/>
                <w:szCs w:val="20"/>
                <w:u w:val="none"/>
              </w:rPr>
            </w:pPr>
          </w:p>
        </w:tc>
      </w:tr>
      <w:tr w14:paraId="46AFB1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21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011EB0C2">
            <w:pPr>
              <w:jc w:val="center"/>
              <w:rPr>
                <w:rFonts w:hint="eastAsia" w:ascii="宋体" w:hAnsi="宋体" w:eastAsia="宋体" w:cs="宋体"/>
                <w:i w:val="0"/>
                <w:iCs w:val="0"/>
                <w:color w:val="000000"/>
                <w:sz w:val="20"/>
                <w:szCs w:val="20"/>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65A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项目支出</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94E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1989.09</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8CE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1798.36</w:t>
            </w: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13FD07">
            <w:pPr>
              <w:jc w:val="center"/>
              <w:rPr>
                <w:rFonts w:hint="eastAsia" w:ascii="宋体" w:hAnsi="宋体" w:eastAsia="宋体" w:cs="宋体"/>
                <w:i w:val="0"/>
                <w:iCs w:val="0"/>
                <w:color w:val="000000"/>
                <w:sz w:val="20"/>
                <w:szCs w:val="20"/>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12DE9F">
            <w:pPr>
              <w:jc w:val="center"/>
              <w:rPr>
                <w:rFonts w:hint="eastAsia" w:ascii="宋体" w:hAnsi="宋体" w:eastAsia="宋体" w:cs="宋体"/>
                <w:i w:val="0"/>
                <w:iCs w:val="0"/>
                <w:color w:val="000000"/>
                <w:sz w:val="20"/>
                <w:szCs w:val="20"/>
                <w:u w:val="none"/>
              </w:rPr>
            </w:pPr>
          </w:p>
        </w:tc>
        <w:tc>
          <w:tcPr>
            <w:tcW w:w="975" w:type="dxa"/>
            <w:vMerge w:val="continue"/>
            <w:tcBorders>
              <w:top w:val="single" w:color="000000" w:sz="4" w:space="0"/>
              <w:left w:val="single" w:color="000000" w:sz="4" w:space="0"/>
              <w:bottom w:val="single" w:color="000000" w:sz="4" w:space="0"/>
              <w:right w:val="single" w:color="000000" w:sz="8" w:space="0"/>
            </w:tcBorders>
            <w:shd w:val="clear" w:color="auto" w:fill="auto"/>
            <w:vAlign w:val="center"/>
          </w:tcPr>
          <w:p w14:paraId="475A2124">
            <w:pPr>
              <w:jc w:val="center"/>
              <w:rPr>
                <w:rFonts w:hint="eastAsia" w:ascii="宋体" w:hAnsi="宋体" w:eastAsia="宋体" w:cs="宋体"/>
                <w:i w:val="0"/>
                <w:iCs w:val="0"/>
                <w:color w:val="000000"/>
                <w:sz w:val="20"/>
                <w:szCs w:val="20"/>
                <w:u w:val="none"/>
              </w:rPr>
            </w:pPr>
          </w:p>
        </w:tc>
      </w:tr>
      <w:tr w14:paraId="574E48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21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048C5166">
            <w:pPr>
              <w:jc w:val="center"/>
              <w:rPr>
                <w:rFonts w:hint="eastAsia" w:ascii="宋体" w:hAnsi="宋体" w:eastAsia="宋体" w:cs="宋体"/>
                <w:i w:val="0"/>
                <w:iCs w:val="0"/>
                <w:color w:val="000000"/>
                <w:sz w:val="20"/>
                <w:szCs w:val="20"/>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62F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8E270">
            <w:pPr>
              <w:jc w:val="center"/>
              <w:rPr>
                <w:rFonts w:hint="eastAsia" w:ascii="宋体" w:hAnsi="宋体" w:eastAsia="宋体" w:cs="宋体"/>
                <w:i w:val="0"/>
                <w:iCs w:val="0"/>
                <w:color w:val="000000"/>
                <w:sz w:val="20"/>
                <w:szCs w:val="20"/>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72AA3">
            <w:pPr>
              <w:jc w:val="center"/>
              <w:rPr>
                <w:rFonts w:hint="eastAsia" w:ascii="宋体" w:hAnsi="宋体" w:eastAsia="宋体" w:cs="宋体"/>
                <w:i w:val="0"/>
                <w:iCs w:val="0"/>
                <w:color w:val="000000"/>
                <w:sz w:val="20"/>
                <w:szCs w:val="20"/>
                <w:u w:val="none"/>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F6E701">
            <w:pPr>
              <w:jc w:val="center"/>
              <w:rPr>
                <w:rFonts w:hint="eastAsia" w:ascii="宋体" w:hAnsi="宋体" w:eastAsia="宋体" w:cs="宋体"/>
                <w:i w:val="0"/>
                <w:iCs w:val="0"/>
                <w:color w:val="000000"/>
                <w:sz w:val="20"/>
                <w:szCs w:val="20"/>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F2D637">
            <w:pPr>
              <w:jc w:val="center"/>
              <w:rPr>
                <w:rFonts w:hint="eastAsia" w:ascii="宋体" w:hAnsi="宋体" w:eastAsia="宋体" w:cs="宋体"/>
                <w:i w:val="0"/>
                <w:iCs w:val="0"/>
                <w:color w:val="000000"/>
                <w:sz w:val="20"/>
                <w:szCs w:val="20"/>
                <w:u w:val="none"/>
              </w:rPr>
            </w:pPr>
          </w:p>
        </w:tc>
        <w:tc>
          <w:tcPr>
            <w:tcW w:w="975" w:type="dxa"/>
            <w:vMerge w:val="continue"/>
            <w:tcBorders>
              <w:top w:val="single" w:color="000000" w:sz="4" w:space="0"/>
              <w:left w:val="single" w:color="000000" w:sz="4" w:space="0"/>
              <w:bottom w:val="single" w:color="000000" w:sz="4" w:space="0"/>
              <w:right w:val="single" w:color="000000" w:sz="8" w:space="0"/>
            </w:tcBorders>
            <w:shd w:val="clear" w:color="auto" w:fill="auto"/>
            <w:vAlign w:val="center"/>
          </w:tcPr>
          <w:p w14:paraId="13D46AAC">
            <w:pPr>
              <w:jc w:val="center"/>
              <w:rPr>
                <w:rFonts w:hint="eastAsia" w:ascii="宋体" w:hAnsi="宋体" w:eastAsia="宋体" w:cs="宋体"/>
                <w:i w:val="0"/>
                <w:iCs w:val="0"/>
                <w:color w:val="000000"/>
                <w:sz w:val="20"/>
                <w:szCs w:val="20"/>
                <w:u w:val="none"/>
              </w:rPr>
            </w:pPr>
          </w:p>
        </w:tc>
      </w:tr>
      <w:tr w14:paraId="14AACA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10" w:type="dxa"/>
            <w:gridSpan w:val="7"/>
            <w:tcBorders>
              <w:top w:val="single" w:color="000000" w:sz="4" w:space="0"/>
              <w:left w:val="single" w:color="000000" w:sz="8" w:space="0"/>
              <w:bottom w:val="single" w:color="000000" w:sz="4" w:space="0"/>
              <w:right w:val="single" w:color="000000" w:sz="4" w:space="0"/>
            </w:tcBorders>
            <w:shd w:val="clear" w:color="auto" w:fill="auto"/>
            <w:vAlign w:val="center"/>
          </w:tcPr>
          <w:p w14:paraId="555CCB0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w:t>
            </w:r>
            <w:r>
              <w:rPr>
                <w:rStyle w:val="9"/>
                <w:lang w:val="en-US" w:eastAsia="zh-CN" w:bidi="ar"/>
              </w:rPr>
              <w:t>整体绩效目标实现情况（60分）</w:t>
            </w:r>
          </w:p>
        </w:tc>
      </w:tr>
      <w:tr w14:paraId="3ED611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21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B2EE6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CE4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　</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1E7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　</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3F6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7D0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完成值</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636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975" w:type="dxa"/>
            <w:tcBorders>
              <w:top w:val="single" w:color="000000" w:sz="4" w:space="0"/>
              <w:left w:val="single" w:color="000000" w:sz="4" w:space="0"/>
              <w:bottom w:val="single" w:color="000000" w:sz="4" w:space="0"/>
              <w:right w:val="single" w:color="000000" w:sz="8" w:space="0"/>
            </w:tcBorders>
            <w:shd w:val="clear" w:color="auto" w:fill="auto"/>
            <w:vAlign w:val="center"/>
          </w:tcPr>
          <w:p w14:paraId="26A8F2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r>
      <w:tr w14:paraId="0F1FD1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215" w:type="dxa"/>
            <w:vMerge w:val="restart"/>
            <w:tcBorders>
              <w:top w:val="single" w:color="000000" w:sz="4" w:space="0"/>
              <w:left w:val="single" w:color="000000" w:sz="8" w:space="0"/>
              <w:bottom w:val="single" w:color="000000" w:sz="4" w:space="0"/>
              <w:right w:val="single" w:color="000000" w:sz="4" w:space="0"/>
            </w:tcBorders>
            <w:shd w:val="clear" w:color="auto" w:fill="auto"/>
            <w:vAlign w:val="center"/>
          </w:tcPr>
          <w:p w14:paraId="64E09F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整体绩效目标实现情况（60）</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6D24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产出（30）</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EDA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产出数量</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6A8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实际完成率</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E20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达标　</w:t>
            </w: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9B86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975" w:type="dxa"/>
            <w:tcBorders>
              <w:top w:val="single" w:color="000000" w:sz="4" w:space="0"/>
              <w:left w:val="single" w:color="000000" w:sz="4" w:space="0"/>
              <w:bottom w:val="single" w:color="000000" w:sz="4" w:space="0"/>
              <w:right w:val="single" w:color="000000" w:sz="8" w:space="0"/>
            </w:tcBorders>
            <w:shd w:val="clear" w:color="auto" w:fill="auto"/>
            <w:vAlign w:val="center"/>
          </w:tcPr>
          <w:p w14:paraId="437744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r>
      <w:tr w14:paraId="47386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21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58A33C43">
            <w:pPr>
              <w:jc w:val="center"/>
              <w:rPr>
                <w:rFonts w:hint="eastAsia" w:ascii="宋体" w:hAnsi="宋体" w:eastAsia="宋体" w:cs="宋体"/>
                <w:i w:val="0"/>
                <w:iCs w:val="0"/>
                <w:color w:val="000000"/>
                <w:sz w:val="20"/>
                <w:szCs w:val="20"/>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F1F21A">
            <w:pPr>
              <w:jc w:val="center"/>
              <w:rPr>
                <w:rFonts w:hint="eastAsia" w:ascii="宋体" w:hAnsi="宋体" w:eastAsia="宋体" w:cs="宋体"/>
                <w:i w:val="0"/>
                <w:iCs w:val="0"/>
                <w:color w:val="000000"/>
                <w:sz w:val="20"/>
                <w:szCs w:val="20"/>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EC9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产出质量</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7A2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质量达标率　</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75C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达标　</w:t>
            </w: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D0F497">
            <w:pPr>
              <w:jc w:val="center"/>
              <w:rPr>
                <w:rFonts w:hint="eastAsia" w:ascii="宋体" w:hAnsi="宋体" w:eastAsia="宋体" w:cs="宋体"/>
                <w:i w:val="0"/>
                <w:iCs w:val="0"/>
                <w:color w:val="000000"/>
                <w:sz w:val="20"/>
                <w:szCs w:val="20"/>
                <w:u w:val="none"/>
              </w:rPr>
            </w:pPr>
          </w:p>
        </w:tc>
        <w:tc>
          <w:tcPr>
            <w:tcW w:w="975" w:type="dxa"/>
            <w:tcBorders>
              <w:top w:val="single" w:color="000000" w:sz="4" w:space="0"/>
              <w:left w:val="single" w:color="000000" w:sz="4" w:space="0"/>
              <w:bottom w:val="single" w:color="000000" w:sz="4" w:space="0"/>
              <w:right w:val="single" w:color="000000" w:sz="8" w:space="0"/>
            </w:tcBorders>
            <w:shd w:val="clear" w:color="auto" w:fill="auto"/>
            <w:vAlign w:val="center"/>
          </w:tcPr>
          <w:p w14:paraId="608BF2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r>
      <w:tr w14:paraId="6E7EE7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21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654CA4F2">
            <w:pPr>
              <w:jc w:val="center"/>
              <w:rPr>
                <w:rFonts w:hint="eastAsia" w:ascii="宋体" w:hAnsi="宋体" w:eastAsia="宋体" w:cs="宋体"/>
                <w:i w:val="0"/>
                <w:iCs w:val="0"/>
                <w:color w:val="000000"/>
                <w:sz w:val="20"/>
                <w:szCs w:val="20"/>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87CD77">
            <w:pPr>
              <w:jc w:val="center"/>
              <w:rPr>
                <w:rFonts w:hint="eastAsia" w:ascii="宋体" w:hAnsi="宋体" w:eastAsia="宋体" w:cs="宋体"/>
                <w:i w:val="0"/>
                <w:iCs w:val="0"/>
                <w:color w:val="000000"/>
                <w:sz w:val="20"/>
                <w:szCs w:val="20"/>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A66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产出进度</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692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完成及时性　</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359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及时　</w:t>
            </w: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FCB28F">
            <w:pPr>
              <w:jc w:val="center"/>
              <w:rPr>
                <w:rFonts w:hint="eastAsia" w:ascii="宋体" w:hAnsi="宋体" w:eastAsia="宋体" w:cs="宋体"/>
                <w:i w:val="0"/>
                <w:iCs w:val="0"/>
                <w:color w:val="000000"/>
                <w:sz w:val="20"/>
                <w:szCs w:val="20"/>
                <w:u w:val="none"/>
              </w:rPr>
            </w:pPr>
          </w:p>
        </w:tc>
        <w:tc>
          <w:tcPr>
            <w:tcW w:w="975" w:type="dxa"/>
            <w:tcBorders>
              <w:top w:val="single" w:color="000000" w:sz="4" w:space="0"/>
              <w:left w:val="single" w:color="000000" w:sz="4" w:space="0"/>
              <w:bottom w:val="single" w:color="000000" w:sz="4" w:space="0"/>
              <w:right w:val="single" w:color="000000" w:sz="8" w:space="0"/>
            </w:tcBorders>
            <w:shd w:val="clear" w:color="auto" w:fill="auto"/>
            <w:vAlign w:val="center"/>
          </w:tcPr>
          <w:p w14:paraId="197403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r>
      <w:tr w14:paraId="756A6F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21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08D0B65E">
            <w:pPr>
              <w:jc w:val="center"/>
              <w:rPr>
                <w:rFonts w:hint="eastAsia" w:ascii="宋体" w:hAnsi="宋体" w:eastAsia="宋体" w:cs="宋体"/>
                <w:i w:val="0"/>
                <w:iCs w:val="0"/>
                <w:color w:val="000000"/>
                <w:sz w:val="20"/>
                <w:szCs w:val="20"/>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38E61C">
            <w:pPr>
              <w:jc w:val="center"/>
              <w:rPr>
                <w:rFonts w:hint="eastAsia" w:ascii="宋体" w:hAnsi="宋体" w:eastAsia="宋体" w:cs="宋体"/>
                <w:i w:val="0"/>
                <w:iCs w:val="0"/>
                <w:color w:val="000000"/>
                <w:sz w:val="20"/>
                <w:szCs w:val="20"/>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567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产出成本</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46D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成本节约率　</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F1D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控制得当</w:t>
            </w:r>
            <w:r>
              <w:rPr>
                <w:rStyle w:val="9"/>
                <w:lang w:val="en-US" w:eastAsia="zh-CN" w:bidi="ar"/>
              </w:rPr>
              <w:t>　</w:t>
            </w: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82C902">
            <w:pPr>
              <w:jc w:val="center"/>
              <w:rPr>
                <w:rFonts w:hint="eastAsia" w:ascii="宋体" w:hAnsi="宋体" w:eastAsia="宋体" w:cs="宋体"/>
                <w:i w:val="0"/>
                <w:iCs w:val="0"/>
                <w:color w:val="000000"/>
                <w:sz w:val="20"/>
                <w:szCs w:val="20"/>
                <w:u w:val="none"/>
              </w:rPr>
            </w:pPr>
          </w:p>
        </w:tc>
        <w:tc>
          <w:tcPr>
            <w:tcW w:w="975" w:type="dxa"/>
            <w:tcBorders>
              <w:top w:val="single" w:color="000000" w:sz="4" w:space="0"/>
              <w:left w:val="single" w:color="000000" w:sz="4" w:space="0"/>
              <w:bottom w:val="single" w:color="000000" w:sz="4" w:space="0"/>
              <w:right w:val="single" w:color="000000" w:sz="8" w:space="0"/>
            </w:tcBorders>
            <w:shd w:val="clear" w:color="auto" w:fill="auto"/>
            <w:vAlign w:val="center"/>
          </w:tcPr>
          <w:p w14:paraId="7A0EB8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r>
      <w:tr w14:paraId="4CA5A6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21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18496BF5">
            <w:pPr>
              <w:jc w:val="center"/>
              <w:rPr>
                <w:rFonts w:hint="eastAsia" w:ascii="宋体" w:hAnsi="宋体" w:eastAsia="宋体" w:cs="宋体"/>
                <w:i w:val="0"/>
                <w:iCs w:val="0"/>
                <w:color w:val="000000"/>
                <w:sz w:val="20"/>
                <w:szCs w:val="20"/>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03DC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效果（30）</w:t>
            </w:r>
          </w:p>
        </w:tc>
        <w:tc>
          <w:tcPr>
            <w:tcW w:w="1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9D35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p>
        </w:tc>
        <w:tc>
          <w:tcPr>
            <w:tcW w:w="11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DC08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提升社会效益　</w:t>
            </w:r>
          </w:p>
        </w:tc>
        <w:tc>
          <w:tcPr>
            <w:tcW w:w="12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90EC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提升　</w:t>
            </w: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F219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975" w:type="dxa"/>
            <w:vMerge w:val="restart"/>
            <w:tcBorders>
              <w:top w:val="single" w:color="000000" w:sz="4" w:space="0"/>
              <w:left w:val="single" w:color="000000" w:sz="4" w:space="0"/>
              <w:bottom w:val="single" w:color="000000" w:sz="4" w:space="0"/>
              <w:right w:val="single" w:color="000000" w:sz="8" w:space="0"/>
            </w:tcBorders>
            <w:shd w:val="clear" w:color="auto" w:fill="auto"/>
            <w:vAlign w:val="center"/>
          </w:tcPr>
          <w:p w14:paraId="2E0396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r>
      <w:tr w14:paraId="5A83B2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21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30DF5841">
            <w:pPr>
              <w:jc w:val="center"/>
              <w:rPr>
                <w:rFonts w:hint="eastAsia" w:ascii="宋体" w:hAnsi="宋体" w:eastAsia="宋体" w:cs="宋体"/>
                <w:i w:val="0"/>
                <w:iCs w:val="0"/>
                <w:color w:val="000000"/>
                <w:sz w:val="20"/>
                <w:szCs w:val="20"/>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5EBB97">
            <w:pPr>
              <w:jc w:val="center"/>
              <w:rPr>
                <w:rFonts w:hint="eastAsia" w:ascii="宋体" w:hAnsi="宋体" w:eastAsia="宋体" w:cs="宋体"/>
                <w:i w:val="0"/>
                <w:iCs w:val="0"/>
                <w:color w:val="000000"/>
                <w:sz w:val="20"/>
                <w:szCs w:val="20"/>
                <w:u w:val="none"/>
              </w:rPr>
            </w:pPr>
          </w:p>
        </w:tc>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347AA0">
            <w:pPr>
              <w:jc w:val="center"/>
              <w:rPr>
                <w:rFonts w:hint="eastAsia" w:ascii="宋体" w:hAnsi="宋体" w:eastAsia="宋体" w:cs="宋体"/>
                <w:i w:val="0"/>
                <w:iCs w:val="0"/>
                <w:color w:val="000000"/>
                <w:sz w:val="20"/>
                <w:szCs w:val="20"/>
                <w:u w:val="none"/>
              </w:rPr>
            </w:pPr>
          </w:p>
        </w:tc>
        <w:tc>
          <w:tcPr>
            <w:tcW w:w="11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5F30D4">
            <w:pPr>
              <w:jc w:val="center"/>
              <w:rPr>
                <w:rFonts w:hint="eastAsia" w:ascii="宋体" w:hAnsi="宋体" w:eastAsia="宋体" w:cs="宋体"/>
                <w:i w:val="0"/>
                <w:iCs w:val="0"/>
                <w:color w:val="000000"/>
                <w:sz w:val="20"/>
                <w:szCs w:val="20"/>
                <w:u w:val="none"/>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F41A79">
            <w:pPr>
              <w:jc w:val="center"/>
              <w:rPr>
                <w:rFonts w:hint="eastAsia" w:ascii="宋体" w:hAnsi="宋体" w:eastAsia="宋体" w:cs="宋体"/>
                <w:i w:val="0"/>
                <w:iCs w:val="0"/>
                <w:color w:val="000000"/>
                <w:sz w:val="20"/>
                <w:szCs w:val="20"/>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72741C">
            <w:pPr>
              <w:jc w:val="center"/>
              <w:rPr>
                <w:rFonts w:hint="eastAsia" w:ascii="宋体" w:hAnsi="宋体" w:eastAsia="宋体" w:cs="宋体"/>
                <w:i w:val="0"/>
                <w:iCs w:val="0"/>
                <w:color w:val="000000"/>
                <w:sz w:val="20"/>
                <w:szCs w:val="20"/>
                <w:u w:val="none"/>
              </w:rPr>
            </w:pPr>
          </w:p>
        </w:tc>
        <w:tc>
          <w:tcPr>
            <w:tcW w:w="975" w:type="dxa"/>
            <w:vMerge w:val="continue"/>
            <w:tcBorders>
              <w:top w:val="single" w:color="000000" w:sz="4" w:space="0"/>
              <w:left w:val="single" w:color="000000" w:sz="4" w:space="0"/>
              <w:bottom w:val="single" w:color="000000" w:sz="4" w:space="0"/>
              <w:right w:val="single" w:color="000000" w:sz="8" w:space="0"/>
            </w:tcBorders>
            <w:shd w:val="clear" w:color="auto" w:fill="auto"/>
            <w:vAlign w:val="center"/>
          </w:tcPr>
          <w:p w14:paraId="072B833A">
            <w:pPr>
              <w:jc w:val="center"/>
              <w:rPr>
                <w:rFonts w:hint="eastAsia" w:ascii="宋体" w:hAnsi="宋体" w:eastAsia="宋体" w:cs="宋体"/>
                <w:i w:val="0"/>
                <w:iCs w:val="0"/>
                <w:color w:val="000000"/>
                <w:sz w:val="20"/>
                <w:szCs w:val="20"/>
                <w:u w:val="none"/>
              </w:rPr>
            </w:pPr>
          </w:p>
        </w:tc>
      </w:tr>
      <w:tr w14:paraId="57D91F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21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2EE96B7F">
            <w:pPr>
              <w:jc w:val="center"/>
              <w:rPr>
                <w:rFonts w:hint="eastAsia" w:ascii="宋体" w:hAnsi="宋体" w:eastAsia="宋体" w:cs="宋体"/>
                <w:i w:val="0"/>
                <w:iCs w:val="0"/>
                <w:color w:val="000000"/>
                <w:sz w:val="20"/>
                <w:szCs w:val="20"/>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D1E7F9">
            <w:pPr>
              <w:jc w:val="center"/>
              <w:rPr>
                <w:rFonts w:hint="eastAsia" w:ascii="宋体" w:hAnsi="宋体" w:eastAsia="宋体" w:cs="宋体"/>
                <w:i w:val="0"/>
                <w:iCs w:val="0"/>
                <w:color w:val="000000"/>
                <w:sz w:val="20"/>
                <w:szCs w:val="20"/>
                <w:u w:val="none"/>
              </w:rPr>
            </w:pPr>
          </w:p>
        </w:tc>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FED7C1">
            <w:pPr>
              <w:jc w:val="center"/>
              <w:rPr>
                <w:rFonts w:hint="eastAsia" w:ascii="宋体" w:hAnsi="宋体" w:eastAsia="宋体" w:cs="宋体"/>
                <w:i w:val="0"/>
                <w:iCs w:val="0"/>
                <w:color w:val="000000"/>
                <w:sz w:val="20"/>
                <w:szCs w:val="20"/>
                <w:u w:val="none"/>
              </w:rPr>
            </w:pPr>
          </w:p>
        </w:tc>
        <w:tc>
          <w:tcPr>
            <w:tcW w:w="11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36585F">
            <w:pPr>
              <w:jc w:val="center"/>
              <w:rPr>
                <w:rFonts w:hint="eastAsia" w:ascii="宋体" w:hAnsi="宋体" w:eastAsia="宋体" w:cs="宋体"/>
                <w:i w:val="0"/>
                <w:iCs w:val="0"/>
                <w:color w:val="000000"/>
                <w:sz w:val="20"/>
                <w:szCs w:val="20"/>
                <w:u w:val="none"/>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005ADF">
            <w:pPr>
              <w:jc w:val="center"/>
              <w:rPr>
                <w:rFonts w:hint="eastAsia" w:ascii="宋体" w:hAnsi="宋体" w:eastAsia="宋体" w:cs="宋体"/>
                <w:i w:val="0"/>
                <w:iCs w:val="0"/>
                <w:color w:val="000000"/>
                <w:sz w:val="20"/>
                <w:szCs w:val="20"/>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D105F7">
            <w:pPr>
              <w:jc w:val="center"/>
              <w:rPr>
                <w:rFonts w:hint="eastAsia" w:ascii="宋体" w:hAnsi="宋体" w:eastAsia="宋体" w:cs="宋体"/>
                <w:i w:val="0"/>
                <w:iCs w:val="0"/>
                <w:color w:val="000000"/>
                <w:sz w:val="20"/>
                <w:szCs w:val="20"/>
                <w:u w:val="none"/>
              </w:rPr>
            </w:pPr>
          </w:p>
        </w:tc>
        <w:tc>
          <w:tcPr>
            <w:tcW w:w="975" w:type="dxa"/>
            <w:vMerge w:val="continue"/>
            <w:tcBorders>
              <w:top w:val="single" w:color="000000" w:sz="4" w:space="0"/>
              <w:left w:val="single" w:color="000000" w:sz="4" w:space="0"/>
              <w:bottom w:val="single" w:color="000000" w:sz="4" w:space="0"/>
              <w:right w:val="single" w:color="000000" w:sz="8" w:space="0"/>
            </w:tcBorders>
            <w:shd w:val="clear" w:color="auto" w:fill="auto"/>
            <w:vAlign w:val="center"/>
          </w:tcPr>
          <w:p w14:paraId="0FA5E501">
            <w:pPr>
              <w:jc w:val="center"/>
              <w:rPr>
                <w:rFonts w:hint="eastAsia" w:ascii="宋体" w:hAnsi="宋体" w:eastAsia="宋体" w:cs="宋体"/>
                <w:i w:val="0"/>
                <w:iCs w:val="0"/>
                <w:color w:val="000000"/>
                <w:sz w:val="20"/>
                <w:szCs w:val="20"/>
                <w:u w:val="none"/>
              </w:rPr>
            </w:pPr>
          </w:p>
        </w:tc>
      </w:tr>
      <w:tr w14:paraId="0FAC7A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21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57F2D176">
            <w:pPr>
              <w:jc w:val="center"/>
              <w:rPr>
                <w:rFonts w:hint="eastAsia" w:ascii="宋体" w:hAnsi="宋体" w:eastAsia="宋体" w:cs="宋体"/>
                <w:i w:val="0"/>
                <w:iCs w:val="0"/>
                <w:color w:val="000000"/>
                <w:sz w:val="20"/>
                <w:szCs w:val="20"/>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C155B4">
            <w:pPr>
              <w:jc w:val="center"/>
              <w:rPr>
                <w:rFonts w:hint="eastAsia" w:ascii="宋体" w:hAnsi="宋体" w:eastAsia="宋体" w:cs="宋体"/>
                <w:i w:val="0"/>
                <w:iCs w:val="0"/>
                <w:color w:val="000000"/>
                <w:sz w:val="20"/>
                <w:szCs w:val="20"/>
                <w:u w:val="none"/>
              </w:rPr>
            </w:pPr>
          </w:p>
        </w:tc>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678FFF">
            <w:pPr>
              <w:jc w:val="center"/>
              <w:rPr>
                <w:rFonts w:hint="eastAsia" w:ascii="宋体" w:hAnsi="宋体" w:eastAsia="宋体" w:cs="宋体"/>
                <w:i w:val="0"/>
                <w:iCs w:val="0"/>
                <w:color w:val="000000"/>
                <w:sz w:val="20"/>
                <w:szCs w:val="20"/>
                <w:u w:val="none"/>
              </w:rPr>
            </w:pPr>
          </w:p>
        </w:tc>
        <w:tc>
          <w:tcPr>
            <w:tcW w:w="11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A27531">
            <w:pPr>
              <w:jc w:val="center"/>
              <w:rPr>
                <w:rFonts w:hint="eastAsia" w:ascii="宋体" w:hAnsi="宋体" w:eastAsia="宋体" w:cs="宋体"/>
                <w:i w:val="0"/>
                <w:iCs w:val="0"/>
                <w:color w:val="000000"/>
                <w:sz w:val="20"/>
                <w:szCs w:val="20"/>
                <w:u w:val="none"/>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E0940E">
            <w:pPr>
              <w:jc w:val="center"/>
              <w:rPr>
                <w:rFonts w:hint="eastAsia" w:ascii="宋体" w:hAnsi="宋体" w:eastAsia="宋体" w:cs="宋体"/>
                <w:i w:val="0"/>
                <w:iCs w:val="0"/>
                <w:color w:val="000000"/>
                <w:sz w:val="20"/>
                <w:szCs w:val="20"/>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1827F2">
            <w:pPr>
              <w:jc w:val="center"/>
              <w:rPr>
                <w:rFonts w:hint="eastAsia" w:ascii="宋体" w:hAnsi="宋体" w:eastAsia="宋体" w:cs="宋体"/>
                <w:i w:val="0"/>
                <w:iCs w:val="0"/>
                <w:color w:val="000000"/>
                <w:sz w:val="20"/>
                <w:szCs w:val="20"/>
                <w:u w:val="none"/>
              </w:rPr>
            </w:pPr>
          </w:p>
        </w:tc>
        <w:tc>
          <w:tcPr>
            <w:tcW w:w="975" w:type="dxa"/>
            <w:vMerge w:val="continue"/>
            <w:tcBorders>
              <w:top w:val="single" w:color="000000" w:sz="4" w:space="0"/>
              <w:left w:val="single" w:color="000000" w:sz="4" w:space="0"/>
              <w:bottom w:val="single" w:color="000000" w:sz="4" w:space="0"/>
              <w:right w:val="single" w:color="000000" w:sz="8" w:space="0"/>
            </w:tcBorders>
            <w:shd w:val="clear" w:color="auto" w:fill="auto"/>
            <w:vAlign w:val="center"/>
          </w:tcPr>
          <w:p w14:paraId="448BABBF">
            <w:pPr>
              <w:jc w:val="center"/>
              <w:rPr>
                <w:rFonts w:hint="eastAsia" w:ascii="宋体" w:hAnsi="宋体" w:eastAsia="宋体" w:cs="宋体"/>
                <w:i w:val="0"/>
                <w:iCs w:val="0"/>
                <w:color w:val="000000"/>
                <w:sz w:val="20"/>
                <w:szCs w:val="20"/>
                <w:u w:val="none"/>
              </w:rPr>
            </w:pPr>
          </w:p>
        </w:tc>
      </w:tr>
      <w:tr w14:paraId="4FEE64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21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042FEC00">
            <w:pPr>
              <w:jc w:val="center"/>
              <w:rPr>
                <w:rFonts w:hint="eastAsia" w:ascii="宋体" w:hAnsi="宋体" w:eastAsia="宋体" w:cs="宋体"/>
                <w:i w:val="0"/>
                <w:iCs w:val="0"/>
                <w:color w:val="000000"/>
                <w:sz w:val="20"/>
                <w:szCs w:val="20"/>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332260">
            <w:pPr>
              <w:jc w:val="center"/>
              <w:rPr>
                <w:rFonts w:hint="eastAsia" w:ascii="宋体" w:hAnsi="宋体" w:eastAsia="宋体" w:cs="宋体"/>
                <w:i w:val="0"/>
                <w:iCs w:val="0"/>
                <w:color w:val="000000"/>
                <w:sz w:val="20"/>
                <w:szCs w:val="20"/>
                <w:u w:val="none"/>
              </w:rPr>
            </w:pPr>
          </w:p>
        </w:tc>
        <w:tc>
          <w:tcPr>
            <w:tcW w:w="1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4499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11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7A94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满意程度</w:t>
            </w:r>
          </w:p>
        </w:tc>
        <w:tc>
          <w:tcPr>
            <w:tcW w:w="12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4549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基本满意</w:t>
            </w: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04A872">
            <w:pPr>
              <w:jc w:val="center"/>
              <w:rPr>
                <w:rFonts w:hint="eastAsia" w:ascii="宋体" w:hAnsi="宋体" w:eastAsia="宋体" w:cs="宋体"/>
                <w:i w:val="0"/>
                <w:iCs w:val="0"/>
                <w:color w:val="000000"/>
                <w:sz w:val="20"/>
                <w:szCs w:val="20"/>
                <w:u w:val="none"/>
              </w:rPr>
            </w:pPr>
          </w:p>
        </w:tc>
        <w:tc>
          <w:tcPr>
            <w:tcW w:w="975" w:type="dxa"/>
            <w:vMerge w:val="restart"/>
            <w:tcBorders>
              <w:top w:val="single" w:color="000000" w:sz="4" w:space="0"/>
              <w:left w:val="single" w:color="000000" w:sz="4" w:space="0"/>
              <w:bottom w:val="single" w:color="000000" w:sz="4" w:space="0"/>
              <w:right w:val="single" w:color="000000" w:sz="8" w:space="0"/>
            </w:tcBorders>
            <w:shd w:val="clear" w:color="auto" w:fill="auto"/>
            <w:vAlign w:val="center"/>
          </w:tcPr>
          <w:p w14:paraId="284130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r>
      <w:tr w14:paraId="17256C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21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36552133">
            <w:pPr>
              <w:jc w:val="center"/>
              <w:rPr>
                <w:rFonts w:hint="eastAsia" w:ascii="宋体" w:hAnsi="宋体" w:eastAsia="宋体" w:cs="宋体"/>
                <w:i w:val="0"/>
                <w:iCs w:val="0"/>
                <w:color w:val="000000"/>
                <w:sz w:val="20"/>
                <w:szCs w:val="20"/>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938B89">
            <w:pPr>
              <w:jc w:val="center"/>
              <w:rPr>
                <w:rFonts w:hint="eastAsia" w:ascii="宋体" w:hAnsi="宋体" w:eastAsia="宋体" w:cs="宋体"/>
                <w:i w:val="0"/>
                <w:iCs w:val="0"/>
                <w:color w:val="000000"/>
                <w:sz w:val="20"/>
                <w:szCs w:val="20"/>
                <w:u w:val="none"/>
              </w:rPr>
            </w:pPr>
          </w:p>
        </w:tc>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8414E4">
            <w:pPr>
              <w:jc w:val="center"/>
              <w:rPr>
                <w:rFonts w:hint="eastAsia" w:ascii="宋体" w:hAnsi="宋体" w:eastAsia="宋体" w:cs="宋体"/>
                <w:i w:val="0"/>
                <w:iCs w:val="0"/>
                <w:color w:val="000000"/>
                <w:sz w:val="20"/>
                <w:szCs w:val="20"/>
                <w:u w:val="none"/>
              </w:rPr>
            </w:pPr>
          </w:p>
        </w:tc>
        <w:tc>
          <w:tcPr>
            <w:tcW w:w="11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494D9C">
            <w:pPr>
              <w:jc w:val="center"/>
              <w:rPr>
                <w:rFonts w:hint="eastAsia" w:ascii="宋体" w:hAnsi="宋体" w:eastAsia="宋体" w:cs="宋体"/>
                <w:i w:val="0"/>
                <w:iCs w:val="0"/>
                <w:color w:val="000000"/>
                <w:sz w:val="18"/>
                <w:szCs w:val="18"/>
                <w:u w:val="none"/>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CAFC00">
            <w:pPr>
              <w:jc w:val="center"/>
              <w:rPr>
                <w:rFonts w:hint="eastAsia" w:ascii="宋体" w:hAnsi="宋体" w:eastAsia="宋体" w:cs="宋体"/>
                <w:i w:val="0"/>
                <w:iCs w:val="0"/>
                <w:color w:val="000000"/>
                <w:sz w:val="20"/>
                <w:szCs w:val="20"/>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8E8186">
            <w:pPr>
              <w:jc w:val="center"/>
              <w:rPr>
                <w:rFonts w:hint="eastAsia" w:ascii="宋体" w:hAnsi="宋体" w:eastAsia="宋体" w:cs="宋体"/>
                <w:i w:val="0"/>
                <w:iCs w:val="0"/>
                <w:color w:val="000000"/>
                <w:sz w:val="20"/>
                <w:szCs w:val="20"/>
                <w:u w:val="none"/>
              </w:rPr>
            </w:pPr>
          </w:p>
        </w:tc>
        <w:tc>
          <w:tcPr>
            <w:tcW w:w="975" w:type="dxa"/>
            <w:vMerge w:val="continue"/>
            <w:tcBorders>
              <w:top w:val="single" w:color="000000" w:sz="4" w:space="0"/>
              <w:left w:val="single" w:color="000000" w:sz="4" w:space="0"/>
              <w:bottom w:val="single" w:color="000000" w:sz="4" w:space="0"/>
              <w:right w:val="single" w:color="000000" w:sz="8" w:space="0"/>
            </w:tcBorders>
            <w:shd w:val="clear" w:color="auto" w:fill="auto"/>
            <w:vAlign w:val="center"/>
          </w:tcPr>
          <w:p w14:paraId="7350A787">
            <w:pPr>
              <w:jc w:val="center"/>
              <w:rPr>
                <w:rFonts w:hint="eastAsia" w:ascii="宋体" w:hAnsi="宋体" w:eastAsia="宋体" w:cs="宋体"/>
                <w:i w:val="0"/>
                <w:iCs w:val="0"/>
                <w:color w:val="000000"/>
                <w:sz w:val="20"/>
                <w:szCs w:val="20"/>
                <w:u w:val="none"/>
              </w:rPr>
            </w:pPr>
          </w:p>
        </w:tc>
      </w:tr>
      <w:tr w14:paraId="5B2CEF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10" w:type="dxa"/>
            <w:gridSpan w:val="7"/>
            <w:tcBorders>
              <w:top w:val="single" w:color="000000" w:sz="4" w:space="0"/>
              <w:left w:val="single" w:color="000000" w:sz="8" w:space="0"/>
              <w:bottom w:val="single" w:color="000000" w:sz="4" w:space="0"/>
              <w:right w:val="single" w:color="000000" w:sz="4" w:space="0"/>
            </w:tcBorders>
            <w:shd w:val="clear" w:color="auto" w:fill="auto"/>
            <w:vAlign w:val="center"/>
          </w:tcPr>
          <w:p w14:paraId="7D65EB3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w:t>
            </w:r>
            <w:r>
              <w:rPr>
                <w:rStyle w:val="9"/>
                <w:lang w:val="en-US" w:eastAsia="zh-CN" w:bidi="ar"/>
              </w:rPr>
              <w:t>预算管理情况（20分）</w:t>
            </w:r>
          </w:p>
        </w:tc>
      </w:tr>
      <w:tr w14:paraId="31F3B4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21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71C361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7CD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0EA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19B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514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完成值</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DC1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975" w:type="dxa"/>
            <w:tcBorders>
              <w:top w:val="single" w:color="000000" w:sz="4" w:space="0"/>
              <w:left w:val="single" w:color="000000" w:sz="4" w:space="0"/>
              <w:bottom w:val="single" w:color="000000" w:sz="4" w:space="0"/>
              <w:right w:val="single" w:color="000000" w:sz="8" w:space="0"/>
            </w:tcBorders>
            <w:shd w:val="clear" w:color="auto" w:fill="auto"/>
            <w:vAlign w:val="center"/>
          </w:tcPr>
          <w:p w14:paraId="71CDDB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r>
      <w:tr w14:paraId="19AFAE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1215" w:type="dxa"/>
            <w:vMerge w:val="restart"/>
            <w:tcBorders>
              <w:top w:val="single" w:color="000000" w:sz="4" w:space="0"/>
              <w:left w:val="single" w:color="000000" w:sz="8" w:space="0"/>
              <w:bottom w:val="single" w:color="000000" w:sz="4" w:space="0"/>
              <w:right w:val="single" w:color="000000" w:sz="4" w:space="0"/>
            </w:tcBorders>
            <w:shd w:val="clear" w:color="auto" w:fill="auto"/>
            <w:vAlign w:val="center"/>
          </w:tcPr>
          <w:p w14:paraId="050DDA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预算管理情况（20）</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56B3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财务管理（4）</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421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财务管理制度健全性</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538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健全性</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ADF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健全　</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0EE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975" w:type="dxa"/>
            <w:tcBorders>
              <w:top w:val="single" w:color="000000" w:sz="4" w:space="0"/>
              <w:left w:val="single" w:color="000000" w:sz="4" w:space="0"/>
              <w:bottom w:val="single" w:color="000000" w:sz="4" w:space="0"/>
              <w:right w:val="single" w:color="000000" w:sz="8" w:space="0"/>
            </w:tcBorders>
            <w:shd w:val="clear" w:color="auto" w:fill="auto"/>
            <w:vAlign w:val="center"/>
          </w:tcPr>
          <w:p w14:paraId="49E05F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137572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21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58B659C8">
            <w:pPr>
              <w:jc w:val="center"/>
              <w:rPr>
                <w:rFonts w:hint="eastAsia" w:ascii="宋体" w:hAnsi="宋体" w:eastAsia="宋体" w:cs="宋体"/>
                <w:i w:val="0"/>
                <w:iCs w:val="0"/>
                <w:color w:val="000000"/>
                <w:sz w:val="20"/>
                <w:szCs w:val="20"/>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5A7273">
            <w:pPr>
              <w:jc w:val="center"/>
              <w:rPr>
                <w:rFonts w:hint="eastAsia" w:ascii="宋体" w:hAnsi="宋体" w:eastAsia="宋体" w:cs="宋体"/>
                <w:i w:val="0"/>
                <w:iCs w:val="0"/>
                <w:color w:val="000000"/>
                <w:sz w:val="20"/>
                <w:szCs w:val="20"/>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D63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资金使用合规性和安全性</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BE7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符合相关的财务管理制度规定</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B26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符合　</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62E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975" w:type="dxa"/>
            <w:tcBorders>
              <w:top w:val="single" w:color="000000" w:sz="4" w:space="0"/>
              <w:left w:val="single" w:color="000000" w:sz="4" w:space="0"/>
              <w:bottom w:val="single" w:color="000000" w:sz="4" w:space="0"/>
              <w:right w:val="single" w:color="000000" w:sz="8" w:space="0"/>
            </w:tcBorders>
            <w:shd w:val="clear" w:color="auto" w:fill="auto"/>
            <w:vAlign w:val="center"/>
          </w:tcPr>
          <w:p w14:paraId="4B3BD1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r>
      <w:tr w14:paraId="163274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121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0756295A">
            <w:pPr>
              <w:jc w:val="center"/>
              <w:rPr>
                <w:rFonts w:hint="eastAsia" w:ascii="宋体" w:hAnsi="宋体" w:eastAsia="宋体" w:cs="宋体"/>
                <w:i w:val="0"/>
                <w:iCs w:val="0"/>
                <w:color w:val="000000"/>
                <w:sz w:val="20"/>
                <w:szCs w:val="20"/>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C817E2">
            <w:pPr>
              <w:jc w:val="center"/>
              <w:rPr>
                <w:rFonts w:hint="eastAsia" w:ascii="宋体" w:hAnsi="宋体" w:eastAsia="宋体" w:cs="宋体"/>
                <w:i w:val="0"/>
                <w:iCs w:val="0"/>
                <w:color w:val="000000"/>
                <w:sz w:val="20"/>
                <w:szCs w:val="20"/>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4D7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会计基础信息完善性</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C24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会计核算规范、基础信息真实　</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D48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规范、真实　</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281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975" w:type="dxa"/>
            <w:tcBorders>
              <w:top w:val="single" w:color="000000" w:sz="4" w:space="0"/>
              <w:left w:val="single" w:color="000000" w:sz="4" w:space="0"/>
              <w:bottom w:val="single" w:color="000000" w:sz="4" w:space="0"/>
              <w:right w:val="single" w:color="000000" w:sz="8" w:space="0"/>
            </w:tcBorders>
            <w:shd w:val="clear" w:color="auto" w:fill="auto"/>
            <w:vAlign w:val="center"/>
          </w:tcPr>
          <w:p w14:paraId="46F8A3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491028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121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530D7BBE">
            <w:pPr>
              <w:jc w:val="center"/>
              <w:rPr>
                <w:rFonts w:hint="eastAsia" w:ascii="宋体" w:hAnsi="宋体" w:eastAsia="宋体" w:cs="宋体"/>
                <w:i w:val="0"/>
                <w:iCs w:val="0"/>
                <w:color w:val="000000"/>
                <w:sz w:val="20"/>
                <w:szCs w:val="20"/>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D36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资产管理（4）</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37C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资产管理规范性</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2A0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严格按照市财政局资产管理相关规定执行</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A48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规范</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763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975" w:type="dxa"/>
            <w:tcBorders>
              <w:top w:val="single" w:color="000000" w:sz="4" w:space="0"/>
              <w:left w:val="single" w:color="000000" w:sz="4" w:space="0"/>
              <w:bottom w:val="single" w:color="000000" w:sz="4" w:space="0"/>
              <w:right w:val="single" w:color="000000" w:sz="8" w:space="0"/>
            </w:tcBorders>
            <w:shd w:val="clear" w:color="auto" w:fill="auto"/>
            <w:vAlign w:val="center"/>
          </w:tcPr>
          <w:p w14:paraId="129631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r>
      <w:tr w14:paraId="73B6CD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21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51CB2E8E">
            <w:pPr>
              <w:jc w:val="center"/>
              <w:rPr>
                <w:rFonts w:hint="eastAsia" w:ascii="宋体" w:hAnsi="宋体" w:eastAsia="宋体" w:cs="宋体"/>
                <w:i w:val="0"/>
                <w:iCs w:val="0"/>
                <w:color w:val="000000"/>
                <w:sz w:val="20"/>
                <w:szCs w:val="20"/>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E1C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绩效管理（4）</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6BC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绩效管理情况</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3FB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运用情况</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23A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合理</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D86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975" w:type="dxa"/>
            <w:tcBorders>
              <w:top w:val="single" w:color="000000" w:sz="4" w:space="0"/>
              <w:left w:val="single" w:color="000000" w:sz="4" w:space="0"/>
              <w:bottom w:val="single" w:color="000000" w:sz="4" w:space="0"/>
              <w:right w:val="single" w:color="000000" w:sz="8" w:space="0"/>
            </w:tcBorders>
            <w:shd w:val="clear" w:color="auto" w:fill="auto"/>
            <w:vAlign w:val="center"/>
          </w:tcPr>
          <w:p w14:paraId="5CE669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r>
      <w:tr w14:paraId="124EE5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21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130317AE">
            <w:pPr>
              <w:jc w:val="center"/>
              <w:rPr>
                <w:rFonts w:hint="eastAsia" w:ascii="宋体" w:hAnsi="宋体" w:eastAsia="宋体" w:cs="宋体"/>
                <w:i w:val="0"/>
                <w:iCs w:val="0"/>
                <w:color w:val="000000"/>
                <w:sz w:val="20"/>
                <w:szCs w:val="20"/>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6FC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　</w:t>
            </w:r>
          </w:p>
        </w:tc>
        <w:tc>
          <w:tcPr>
            <w:tcW w:w="22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A450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2023年</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432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D8F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975" w:type="dxa"/>
            <w:tcBorders>
              <w:top w:val="single" w:color="000000" w:sz="4" w:space="0"/>
              <w:left w:val="single" w:color="000000" w:sz="4" w:space="0"/>
              <w:bottom w:val="single" w:color="000000" w:sz="4" w:space="0"/>
              <w:right w:val="single" w:color="000000" w:sz="8" w:space="0"/>
            </w:tcBorders>
            <w:shd w:val="clear" w:color="auto" w:fill="auto"/>
            <w:vAlign w:val="center"/>
          </w:tcPr>
          <w:p w14:paraId="61A774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r>
      <w:tr w14:paraId="54B15D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21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6F782E27">
            <w:pPr>
              <w:jc w:val="center"/>
              <w:rPr>
                <w:rFonts w:hint="eastAsia" w:ascii="宋体" w:hAnsi="宋体" w:eastAsia="宋体" w:cs="宋体"/>
                <w:i w:val="0"/>
                <w:iCs w:val="0"/>
                <w:color w:val="000000"/>
                <w:sz w:val="20"/>
                <w:szCs w:val="20"/>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B656A7">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结转结余率（4）</w:t>
            </w:r>
          </w:p>
        </w:tc>
        <w:tc>
          <w:tcPr>
            <w:tcW w:w="229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CC7A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4.87%</w:t>
            </w:r>
          </w:p>
        </w:tc>
        <w:tc>
          <w:tcPr>
            <w:tcW w:w="12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BD47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4.21%</w:t>
            </w: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588C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975" w:type="dxa"/>
            <w:vMerge w:val="restart"/>
            <w:tcBorders>
              <w:top w:val="single" w:color="000000" w:sz="4" w:space="0"/>
              <w:left w:val="single" w:color="000000" w:sz="4" w:space="0"/>
              <w:bottom w:val="single" w:color="000000" w:sz="4" w:space="0"/>
              <w:right w:val="single" w:color="000000" w:sz="8" w:space="0"/>
            </w:tcBorders>
            <w:shd w:val="clear" w:color="auto" w:fill="auto"/>
            <w:vAlign w:val="center"/>
          </w:tcPr>
          <w:p w14:paraId="0D72EA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r>
      <w:tr w14:paraId="6DC0A1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21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19DCD863">
            <w:pPr>
              <w:jc w:val="center"/>
              <w:rPr>
                <w:rFonts w:hint="eastAsia" w:ascii="宋体" w:hAnsi="宋体" w:eastAsia="宋体" w:cs="宋体"/>
                <w:i w:val="0"/>
                <w:iCs w:val="0"/>
                <w:color w:val="000000"/>
                <w:sz w:val="20"/>
                <w:szCs w:val="20"/>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6F9E7B">
            <w:pPr>
              <w:jc w:val="both"/>
              <w:rPr>
                <w:rFonts w:hint="eastAsia" w:ascii="宋体" w:hAnsi="宋体" w:eastAsia="宋体" w:cs="宋体"/>
                <w:i w:val="0"/>
                <w:iCs w:val="0"/>
                <w:color w:val="000000"/>
                <w:sz w:val="20"/>
                <w:szCs w:val="20"/>
                <w:u w:val="none"/>
              </w:rPr>
            </w:pPr>
          </w:p>
        </w:tc>
        <w:tc>
          <w:tcPr>
            <w:tcW w:w="22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1F4C8B">
            <w:pPr>
              <w:jc w:val="center"/>
              <w:rPr>
                <w:rFonts w:hint="eastAsia" w:ascii="宋体" w:hAnsi="宋体" w:eastAsia="宋体" w:cs="宋体"/>
                <w:i w:val="0"/>
                <w:iCs w:val="0"/>
                <w:color w:val="000000"/>
                <w:sz w:val="20"/>
                <w:szCs w:val="20"/>
                <w:u w:val="none"/>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223151">
            <w:pPr>
              <w:jc w:val="center"/>
              <w:rPr>
                <w:rFonts w:hint="eastAsia" w:ascii="宋体" w:hAnsi="宋体" w:eastAsia="宋体" w:cs="宋体"/>
                <w:i w:val="0"/>
                <w:iCs w:val="0"/>
                <w:color w:val="000000"/>
                <w:sz w:val="20"/>
                <w:szCs w:val="20"/>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091CC2">
            <w:pPr>
              <w:jc w:val="center"/>
              <w:rPr>
                <w:rFonts w:hint="eastAsia" w:ascii="宋体" w:hAnsi="宋体" w:eastAsia="宋体" w:cs="宋体"/>
                <w:i w:val="0"/>
                <w:iCs w:val="0"/>
                <w:color w:val="000000"/>
                <w:sz w:val="20"/>
                <w:szCs w:val="20"/>
                <w:u w:val="none"/>
              </w:rPr>
            </w:pPr>
          </w:p>
        </w:tc>
        <w:tc>
          <w:tcPr>
            <w:tcW w:w="975" w:type="dxa"/>
            <w:vMerge w:val="continue"/>
            <w:tcBorders>
              <w:top w:val="single" w:color="000000" w:sz="4" w:space="0"/>
              <w:left w:val="single" w:color="000000" w:sz="4" w:space="0"/>
              <w:bottom w:val="single" w:color="000000" w:sz="4" w:space="0"/>
              <w:right w:val="single" w:color="000000" w:sz="8" w:space="0"/>
            </w:tcBorders>
            <w:shd w:val="clear" w:color="auto" w:fill="auto"/>
            <w:vAlign w:val="center"/>
          </w:tcPr>
          <w:p w14:paraId="09649A59">
            <w:pPr>
              <w:jc w:val="center"/>
              <w:rPr>
                <w:rFonts w:hint="eastAsia" w:ascii="宋体" w:hAnsi="宋体" w:eastAsia="宋体" w:cs="宋体"/>
                <w:i w:val="0"/>
                <w:iCs w:val="0"/>
                <w:color w:val="000000"/>
                <w:sz w:val="20"/>
                <w:szCs w:val="20"/>
                <w:u w:val="none"/>
              </w:rPr>
            </w:pPr>
          </w:p>
        </w:tc>
      </w:tr>
      <w:tr w14:paraId="17F982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1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6F0A196A">
            <w:pPr>
              <w:jc w:val="center"/>
              <w:rPr>
                <w:rFonts w:hint="eastAsia" w:ascii="宋体" w:hAnsi="宋体" w:eastAsia="宋体" w:cs="宋体"/>
                <w:i w:val="0"/>
                <w:iCs w:val="0"/>
                <w:color w:val="000000"/>
                <w:sz w:val="20"/>
                <w:szCs w:val="20"/>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F15CF">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部门预决算差异率（4）</w:t>
            </w:r>
          </w:p>
        </w:tc>
        <w:tc>
          <w:tcPr>
            <w:tcW w:w="22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DBB8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266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6.55%</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CBD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975" w:type="dxa"/>
            <w:tcBorders>
              <w:top w:val="single" w:color="000000" w:sz="4" w:space="0"/>
              <w:left w:val="single" w:color="000000" w:sz="4" w:space="0"/>
              <w:bottom w:val="single" w:color="000000" w:sz="4" w:space="0"/>
              <w:right w:val="single" w:color="000000" w:sz="8" w:space="0"/>
            </w:tcBorders>
            <w:shd w:val="clear" w:color="auto" w:fill="auto"/>
            <w:vAlign w:val="center"/>
          </w:tcPr>
          <w:p w14:paraId="2DF57C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r>
      <w:tr w14:paraId="79CA80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6225" w:type="dxa"/>
            <w:gridSpan w:val="5"/>
            <w:tcBorders>
              <w:top w:val="single" w:color="000000" w:sz="4" w:space="0"/>
              <w:left w:val="single" w:color="000000" w:sz="8" w:space="0"/>
              <w:bottom w:val="single" w:color="000000" w:sz="8" w:space="0"/>
              <w:right w:val="single" w:color="000000" w:sz="4" w:space="0"/>
            </w:tcBorders>
            <w:shd w:val="clear" w:color="auto" w:fill="auto"/>
            <w:vAlign w:val="center"/>
          </w:tcPr>
          <w:p w14:paraId="27705B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810" w:type="dxa"/>
            <w:tcBorders>
              <w:top w:val="single" w:color="000000" w:sz="4" w:space="0"/>
              <w:left w:val="single" w:color="000000" w:sz="4" w:space="0"/>
              <w:bottom w:val="single" w:color="000000" w:sz="8" w:space="0"/>
              <w:right w:val="single" w:color="000000" w:sz="4" w:space="0"/>
            </w:tcBorders>
            <w:shd w:val="clear" w:color="auto" w:fill="auto"/>
            <w:vAlign w:val="center"/>
          </w:tcPr>
          <w:p w14:paraId="061A7E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75" w:type="dxa"/>
            <w:tcBorders>
              <w:top w:val="single" w:color="000000" w:sz="4" w:space="0"/>
              <w:left w:val="single" w:color="000000" w:sz="4" w:space="0"/>
              <w:bottom w:val="single" w:color="000000" w:sz="8" w:space="0"/>
              <w:right w:val="single" w:color="000000" w:sz="8" w:space="0"/>
            </w:tcBorders>
            <w:shd w:val="clear" w:color="auto" w:fill="auto"/>
            <w:vAlign w:val="center"/>
          </w:tcPr>
          <w:p w14:paraId="7E832E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97.16</w:t>
            </w:r>
          </w:p>
        </w:tc>
      </w:tr>
    </w:tbl>
    <w:p w14:paraId="201527C1"/>
    <w:sectPr>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019B7C">
    <w:pPr>
      <w:pStyle w:val="3"/>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A20999">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13 -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06A20999">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13 -</w:t>
                    </w:r>
                    <w:r>
                      <w:rPr>
                        <w:rFonts w:ascii="宋体" w:hAnsi="宋体"/>
                        <w:sz w:val="28"/>
                        <w:szCs w:val="28"/>
                      </w:rPr>
                      <w:fldChar w:fldCharType="end"/>
                    </w:r>
                  </w:p>
                </w:txbxContent>
              </v:textbox>
            </v:shape>
          </w:pict>
        </mc:Fallback>
      </mc:AlternateContent>
    </w:r>
  </w:p>
  <w:p w14:paraId="54CF8D5A">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77F09F4"/>
    <w:rsid w:val="000156A6"/>
    <w:rsid w:val="000203E7"/>
    <w:rsid w:val="00021B87"/>
    <w:rsid w:val="0002316B"/>
    <w:rsid w:val="000261A6"/>
    <w:rsid w:val="00026937"/>
    <w:rsid w:val="00040713"/>
    <w:rsid w:val="00044BBF"/>
    <w:rsid w:val="00046C08"/>
    <w:rsid w:val="00047850"/>
    <w:rsid w:val="00050D4D"/>
    <w:rsid w:val="00065148"/>
    <w:rsid w:val="00065CEE"/>
    <w:rsid w:val="000706F6"/>
    <w:rsid w:val="00080C51"/>
    <w:rsid w:val="00080DC7"/>
    <w:rsid w:val="00091926"/>
    <w:rsid w:val="000934FA"/>
    <w:rsid w:val="000A5B0F"/>
    <w:rsid w:val="000A5E61"/>
    <w:rsid w:val="000A6EA2"/>
    <w:rsid w:val="000B3995"/>
    <w:rsid w:val="000B6C93"/>
    <w:rsid w:val="000B6EDE"/>
    <w:rsid w:val="000C0915"/>
    <w:rsid w:val="000C302C"/>
    <w:rsid w:val="000C4194"/>
    <w:rsid w:val="000D2383"/>
    <w:rsid w:val="000F0D87"/>
    <w:rsid w:val="000F5556"/>
    <w:rsid w:val="000F7A1F"/>
    <w:rsid w:val="0011497E"/>
    <w:rsid w:val="0012399F"/>
    <w:rsid w:val="001248C0"/>
    <w:rsid w:val="00137191"/>
    <w:rsid w:val="00150356"/>
    <w:rsid w:val="00156CB6"/>
    <w:rsid w:val="00174C42"/>
    <w:rsid w:val="001943FD"/>
    <w:rsid w:val="00194AF4"/>
    <w:rsid w:val="00195889"/>
    <w:rsid w:val="00196958"/>
    <w:rsid w:val="00197B82"/>
    <w:rsid w:val="001A15AD"/>
    <w:rsid w:val="001A7374"/>
    <w:rsid w:val="001A76A7"/>
    <w:rsid w:val="001B177B"/>
    <w:rsid w:val="001C0BF4"/>
    <w:rsid w:val="001C2987"/>
    <w:rsid w:val="001C6316"/>
    <w:rsid w:val="001D3950"/>
    <w:rsid w:val="001F0481"/>
    <w:rsid w:val="002036B5"/>
    <w:rsid w:val="00204806"/>
    <w:rsid w:val="0020724A"/>
    <w:rsid w:val="00226A54"/>
    <w:rsid w:val="00230F02"/>
    <w:rsid w:val="0023250D"/>
    <w:rsid w:val="002411DA"/>
    <w:rsid w:val="0025177A"/>
    <w:rsid w:val="00251C5D"/>
    <w:rsid w:val="002541E9"/>
    <w:rsid w:val="0026138E"/>
    <w:rsid w:val="0026254C"/>
    <w:rsid w:val="00270622"/>
    <w:rsid w:val="002749C9"/>
    <w:rsid w:val="00284B4C"/>
    <w:rsid w:val="00287993"/>
    <w:rsid w:val="00293A36"/>
    <w:rsid w:val="002A3BED"/>
    <w:rsid w:val="002A5389"/>
    <w:rsid w:val="002B2923"/>
    <w:rsid w:val="002E1FD9"/>
    <w:rsid w:val="00303357"/>
    <w:rsid w:val="00303BE2"/>
    <w:rsid w:val="0030429F"/>
    <w:rsid w:val="00307B32"/>
    <w:rsid w:val="003117C7"/>
    <w:rsid w:val="003132FA"/>
    <w:rsid w:val="00313CA5"/>
    <w:rsid w:val="00320219"/>
    <w:rsid w:val="00321969"/>
    <w:rsid w:val="00325DB0"/>
    <w:rsid w:val="00334CBC"/>
    <w:rsid w:val="0034632C"/>
    <w:rsid w:val="003549CD"/>
    <w:rsid w:val="00354C74"/>
    <w:rsid w:val="003661AD"/>
    <w:rsid w:val="00367A8A"/>
    <w:rsid w:val="00381B9A"/>
    <w:rsid w:val="003871A1"/>
    <w:rsid w:val="00391940"/>
    <w:rsid w:val="00394670"/>
    <w:rsid w:val="003B07FF"/>
    <w:rsid w:val="003C210D"/>
    <w:rsid w:val="003D1145"/>
    <w:rsid w:val="003D43A4"/>
    <w:rsid w:val="003D5348"/>
    <w:rsid w:val="003D7077"/>
    <w:rsid w:val="003E2999"/>
    <w:rsid w:val="003E5A5A"/>
    <w:rsid w:val="003F1858"/>
    <w:rsid w:val="003F636E"/>
    <w:rsid w:val="003F7B23"/>
    <w:rsid w:val="00406C59"/>
    <w:rsid w:val="004075A3"/>
    <w:rsid w:val="00417AA5"/>
    <w:rsid w:val="00422B4B"/>
    <w:rsid w:val="004245D0"/>
    <w:rsid w:val="00437C8B"/>
    <w:rsid w:val="0044268A"/>
    <w:rsid w:val="00442A99"/>
    <w:rsid w:val="004443A6"/>
    <w:rsid w:val="00451474"/>
    <w:rsid w:val="00451C70"/>
    <w:rsid w:val="0045235D"/>
    <w:rsid w:val="004526D4"/>
    <w:rsid w:val="00454D26"/>
    <w:rsid w:val="00460FB1"/>
    <w:rsid w:val="00465CCA"/>
    <w:rsid w:val="00465CFB"/>
    <w:rsid w:val="00466F50"/>
    <w:rsid w:val="00471415"/>
    <w:rsid w:val="00492256"/>
    <w:rsid w:val="004B34A6"/>
    <w:rsid w:val="004B4B64"/>
    <w:rsid w:val="004C66B8"/>
    <w:rsid w:val="004C7B6C"/>
    <w:rsid w:val="004E4196"/>
    <w:rsid w:val="004F6ABB"/>
    <w:rsid w:val="00506EA6"/>
    <w:rsid w:val="005103D7"/>
    <w:rsid w:val="0051331D"/>
    <w:rsid w:val="0051587D"/>
    <w:rsid w:val="005201A9"/>
    <w:rsid w:val="0054226A"/>
    <w:rsid w:val="00542C92"/>
    <w:rsid w:val="005430BE"/>
    <w:rsid w:val="0055641B"/>
    <w:rsid w:val="00557DFB"/>
    <w:rsid w:val="005660FC"/>
    <w:rsid w:val="00566ABB"/>
    <w:rsid w:val="005A5EF7"/>
    <w:rsid w:val="005A727C"/>
    <w:rsid w:val="005B4E9A"/>
    <w:rsid w:val="005C726D"/>
    <w:rsid w:val="005D5AD1"/>
    <w:rsid w:val="005E1688"/>
    <w:rsid w:val="005E2CB5"/>
    <w:rsid w:val="005E46A1"/>
    <w:rsid w:val="00602C33"/>
    <w:rsid w:val="00603BBF"/>
    <w:rsid w:val="00605581"/>
    <w:rsid w:val="00621904"/>
    <w:rsid w:val="00621958"/>
    <w:rsid w:val="00626497"/>
    <w:rsid w:val="006435BC"/>
    <w:rsid w:val="0064775B"/>
    <w:rsid w:val="00655C03"/>
    <w:rsid w:val="00666514"/>
    <w:rsid w:val="00671FF9"/>
    <w:rsid w:val="006779B9"/>
    <w:rsid w:val="006836D3"/>
    <w:rsid w:val="00684387"/>
    <w:rsid w:val="006960A8"/>
    <w:rsid w:val="006A1C24"/>
    <w:rsid w:val="006A4DE9"/>
    <w:rsid w:val="006A7E1B"/>
    <w:rsid w:val="006C31BC"/>
    <w:rsid w:val="006D22A6"/>
    <w:rsid w:val="006D4D09"/>
    <w:rsid w:val="006D5A49"/>
    <w:rsid w:val="006D76A2"/>
    <w:rsid w:val="006E2E2D"/>
    <w:rsid w:val="006E4AA3"/>
    <w:rsid w:val="00703FAC"/>
    <w:rsid w:val="00732AC9"/>
    <w:rsid w:val="00750C25"/>
    <w:rsid w:val="00756A10"/>
    <w:rsid w:val="00771274"/>
    <w:rsid w:val="007810C1"/>
    <w:rsid w:val="0078141B"/>
    <w:rsid w:val="007911D1"/>
    <w:rsid w:val="0079323E"/>
    <w:rsid w:val="007932A1"/>
    <w:rsid w:val="00793F86"/>
    <w:rsid w:val="007B6EAE"/>
    <w:rsid w:val="007C3165"/>
    <w:rsid w:val="007C6CD1"/>
    <w:rsid w:val="007C73CE"/>
    <w:rsid w:val="007D03FF"/>
    <w:rsid w:val="007D71D0"/>
    <w:rsid w:val="007F120B"/>
    <w:rsid w:val="0080388C"/>
    <w:rsid w:val="00815B8C"/>
    <w:rsid w:val="00816987"/>
    <w:rsid w:val="00816A35"/>
    <w:rsid w:val="008212D1"/>
    <w:rsid w:val="008238B4"/>
    <w:rsid w:val="008245AB"/>
    <w:rsid w:val="00830142"/>
    <w:rsid w:val="00831094"/>
    <w:rsid w:val="00833398"/>
    <w:rsid w:val="00841EBE"/>
    <w:rsid w:val="00846B47"/>
    <w:rsid w:val="00856EC3"/>
    <w:rsid w:val="0085720D"/>
    <w:rsid w:val="0086040D"/>
    <w:rsid w:val="00863F40"/>
    <w:rsid w:val="008709BC"/>
    <w:rsid w:val="008761D8"/>
    <w:rsid w:val="0087707D"/>
    <w:rsid w:val="008845CD"/>
    <w:rsid w:val="00887B5C"/>
    <w:rsid w:val="008900AB"/>
    <w:rsid w:val="00897614"/>
    <w:rsid w:val="008A6447"/>
    <w:rsid w:val="008A7285"/>
    <w:rsid w:val="008B058E"/>
    <w:rsid w:val="008B4949"/>
    <w:rsid w:val="008B7075"/>
    <w:rsid w:val="008C16EE"/>
    <w:rsid w:val="008C51D0"/>
    <w:rsid w:val="008C7C54"/>
    <w:rsid w:val="008E3298"/>
    <w:rsid w:val="008F70A1"/>
    <w:rsid w:val="0090337F"/>
    <w:rsid w:val="00903658"/>
    <w:rsid w:val="009046B7"/>
    <w:rsid w:val="009156DC"/>
    <w:rsid w:val="0092247D"/>
    <w:rsid w:val="00932482"/>
    <w:rsid w:val="0095376E"/>
    <w:rsid w:val="00961892"/>
    <w:rsid w:val="0096430D"/>
    <w:rsid w:val="009914E8"/>
    <w:rsid w:val="00991E8E"/>
    <w:rsid w:val="00993794"/>
    <w:rsid w:val="00995058"/>
    <w:rsid w:val="0099590F"/>
    <w:rsid w:val="00996FFB"/>
    <w:rsid w:val="009A1884"/>
    <w:rsid w:val="009C078C"/>
    <w:rsid w:val="009C07BD"/>
    <w:rsid w:val="009C21D1"/>
    <w:rsid w:val="009C6643"/>
    <w:rsid w:val="009D2749"/>
    <w:rsid w:val="009D3AE2"/>
    <w:rsid w:val="009E1F43"/>
    <w:rsid w:val="009F31D2"/>
    <w:rsid w:val="009F451F"/>
    <w:rsid w:val="009F6614"/>
    <w:rsid w:val="009F7DBD"/>
    <w:rsid w:val="00A26D04"/>
    <w:rsid w:val="00A35AC0"/>
    <w:rsid w:val="00A35FDD"/>
    <w:rsid w:val="00A418E0"/>
    <w:rsid w:val="00A419C6"/>
    <w:rsid w:val="00A54CFF"/>
    <w:rsid w:val="00A65222"/>
    <w:rsid w:val="00A722DC"/>
    <w:rsid w:val="00A73517"/>
    <w:rsid w:val="00A8235E"/>
    <w:rsid w:val="00A8427F"/>
    <w:rsid w:val="00A901A2"/>
    <w:rsid w:val="00A93736"/>
    <w:rsid w:val="00AA1750"/>
    <w:rsid w:val="00AA3DE4"/>
    <w:rsid w:val="00AB5112"/>
    <w:rsid w:val="00AB70CA"/>
    <w:rsid w:val="00AC344A"/>
    <w:rsid w:val="00AC7C18"/>
    <w:rsid w:val="00AD1822"/>
    <w:rsid w:val="00AD2D6D"/>
    <w:rsid w:val="00AD4FE2"/>
    <w:rsid w:val="00AE0919"/>
    <w:rsid w:val="00AE71AA"/>
    <w:rsid w:val="00B101B0"/>
    <w:rsid w:val="00B10656"/>
    <w:rsid w:val="00B322B4"/>
    <w:rsid w:val="00B5411E"/>
    <w:rsid w:val="00B60793"/>
    <w:rsid w:val="00B66EF8"/>
    <w:rsid w:val="00B6749C"/>
    <w:rsid w:val="00B7566D"/>
    <w:rsid w:val="00B75B9D"/>
    <w:rsid w:val="00BA0EBD"/>
    <w:rsid w:val="00BA4A4A"/>
    <w:rsid w:val="00BA7766"/>
    <w:rsid w:val="00BB2D5B"/>
    <w:rsid w:val="00BB538D"/>
    <w:rsid w:val="00BC2661"/>
    <w:rsid w:val="00BC7432"/>
    <w:rsid w:val="00BC752B"/>
    <w:rsid w:val="00BC76C1"/>
    <w:rsid w:val="00BD3E3A"/>
    <w:rsid w:val="00BD7B92"/>
    <w:rsid w:val="00BF51D2"/>
    <w:rsid w:val="00C061C1"/>
    <w:rsid w:val="00C11985"/>
    <w:rsid w:val="00C342AB"/>
    <w:rsid w:val="00C40F4D"/>
    <w:rsid w:val="00C53564"/>
    <w:rsid w:val="00C54412"/>
    <w:rsid w:val="00C54F42"/>
    <w:rsid w:val="00C56AEE"/>
    <w:rsid w:val="00C65E55"/>
    <w:rsid w:val="00C723B5"/>
    <w:rsid w:val="00C83C13"/>
    <w:rsid w:val="00CA0301"/>
    <w:rsid w:val="00CA3188"/>
    <w:rsid w:val="00CB1EE2"/>
    <w:rsid w:val="00CB2702"/>
    <w:rsid w:val="00CB546A"/>
    <w:rsid w:val="00CC1597"/>
    <w:rsid w:val="00CC2BD7"/>
    <w:rsid w:val="00CC7615"/>
    <w:rsid w:val="00CD0540"/>
    <w:rsid w:val="00CD33C6"/>
    <w:rsid w:val="00CD476E"/>
    <w:rsid w:val="00CF2694"/>
    <w:rsid w:val="00CF319E"/>
    <w:rsid w:val="00CF3429"/>
    <w:rsid w:val="00CF5331"/>
    <w:rsid w:val="00D13B24"/>
    <w:rsid w:val="00D30338"/>
    <w:rsid w:val="00D52D26"/>
    <w:rsid w:val="00D53012"/>
    <w:rsid w:val="00D57100"/>
    <w:rsid w:val="00D57B82"/>
    <w:rsid w:val="00D60756"/>
    <w:rsid w:val="00D60A2F"/>
    <w:rsid w:val="00D643EA"/>
    <w:rsid w:val="00D670C7"/>
    <w:rsid w:val="00D70079"/>
    <w:rsid w:val="00D70924"/>
    <w:rsid w:val="00DA64DC"/>
    <w:rsid w:val="00DA7ED4"/>
    <w:rsid w:val="00DC4F41"/>
    <w:rsid w:val="00DC6CEF"/>
    <w:rsid w:val="00DD2CCC"/>
    <w:rsid w:val="00DD2F86"/>
    <w:rsid w:val="00DE64D8"/>
    <w:rsid w:val="00E0122D"/>
    <w:rsid w:val="00E0471F"/>
    <w:rsid w:val="00E1302D"/>
    <w:rsid w:val="00E15C9C"/>
    <w:rsid w:val="00E1663D"/>
    <w:rsid w:val="00E224C4"/>
    <w:rsid w:val="00E41796"/>
    <w:rsid w:val="00E41F30"/>
    <w:rsid w:val="00E6606D"/>
    <w:rsid w:val="00E6647B"/>
    <w:rsid w:val="00E741D7"/>
    <w:rsid w:val="00EB0FB0"/>
    <w:rsid w:val="00EB5AF4"/>
    <w:rsid w:val="00EB6194"/>
    <w:rsid w:val="00EB7B5F"/>
    <w:rsid w:val="00EE0E7A"/>
    <w:rsid w:val="00EF24DB"/>
    <w:rsid w:val="00F036E1"/>
    <w:rsid w:val="00F115B0"/>
    <w:rsid w:val="00F15B4D"/>
    <w:rsid w:val="00F16180"/>
    <w:rsid w:val="00F33351"/>
    <w:rsid w:val="00F37FBC"/>
    <w:rsid w:val="00F4057C"/>
    <w:rsid w:val="00F4268F"/>
    <w:rsid w:val="00F42883"/>
    <w:rsid w:val="00F5588D"/>
    <w:rsid w:val="00F63E38"/>
    <w:rsid w:val="00F71FFF"/>
    <w:rsid w:val="00F73C36"/>
    <w:rsid w:val="00F83DD7"/>
    <w:rsid w:val="00F87DC4"/>
    <w:rsid w:val="00F9029C"/>
    <w:rsid w:val="00F93BA5"/>
    <w:rsid w:val="00F96DEE"/>
    <w:rsid w:val="00FA5C4E"/>
    <w:rsid w:val="00FA66C6"/>
    <w:rsid w:val="00FE2591"/>
    <w:rsid w:val="00FF2BDD"/>
    <w:rsid w:val="02062AC6"/>
    <w:rsid w:val="03AA0DD7"/>
    <w:rsid w:val="053022E6"/>
    <w:rsid w:val="06D514D0"/>
    <w:rsid w:val="085E0A5F"/>
    <w:rsid w:val="0A111DF9"/>
    <w:rsid w:val="0BEA4F34"/>
    <w:rsid w:val="0BFC5617"/>
    <w:rsid w:val="0DC946BD"/>
    <w:rsid w:val="0E0950D1"/>
    <w:rsid w:val="0E9534FB"/>
    <w:rsid w:val="0EBC1185"/>
    <w:rsid w:val="0ECF9C51"/>
    <w:rsid w:val="0F402A7E"/>
    <w:rsid w:val="0F7D67BE"/>
    <w:rsid w:val="0FF46F1A"/>
    <w:rsid w:val="10F55639"/>
    <w:rsid w:val="119C6015"/>
    <w:rsid w:val="139879D4"/>
    <w:rsid w:val="1491318E"/>
    <w:rsid w:val="14D57B21"/>
    <w:rsid w:val="15584520"/>
    <w:rsid w:val="158A3E98"/>
    <w:rsid w:val="16A564EC"/>
    <w:rsid w:val="171001C9"/>
    <w:rsid w:val="17D90E14"/>
    <w:rsid w:val="18136923"/>
    <w:rsid w:val="18C01696"/>
    <w:rsid w:val="1B77556C"/>
    <w:rsid w:val="1CB727C5"/>
    <w:rsid w:val="1CBE5484"/>
    <w:rsid w:val="1DBA16CB"/>
    <w:rsid w:val="1FDD7C8B"/>
    <w:rsid w:val="20D916E8"/>
    <w:rsid w:val="21B50E2F"/>
    <w:rsid w:val="23875699"/>
    <w:rsid w:val="25021151"/>
    <w:rsid w:val="287974F0"/>
    <w:rsid w:val="29253FDA"/>
    <w:rsid w:val="2AC45C77"/>
    <w:rsid w:val="2B6639E3"/>
    <w:rsid w:val="2BD63BFC"/>
    <w:rsid w:val="2BFC3D80"/>
    <w:rsid w:val="2DB216A2"/>
    <w:rsid w:val="2E23132A"/>
    <w:rsid w:val="2ED558B7"/>
    <w:rsid w:val="2F135A3A"/>
    <w:rsid w:val="2F951EE8"/>
    <w:rsid w:val="32354F2E"/>
    <w:rsid w:val="3310712F"/>
    <w:rsid w:val="33575E66"/>
    <w:rsid w:val="34454B40"/>
    <w:rsid w:val="34A67D51"/>
    <w:rsid w:val="358E43FE"/>
    <w:rsid w:val="369C2757"/>
    <w:rsid w:val="36DF6285"/>
    <w:rsid w:val="37173543"/>
    <w:rsid w:val="37585548"/>
    <w:rsid w:val="377C1237"/>
    <w:rsid w:val="37EB3979"/>
    <w:rsid w:val="395C3DEE"/>
    <w:rsid w:val="3E4D205C"/>
    <w:rsid w:val="3FF76880"/>
    <w:rsid w:val="482640F1"/>
    <w:rsid w:val="4C3A1768"/>
    <w:rsid w:val="4D985328"/>
    <w:rsid w:val="4FA11E0C"/>
    <w:rsid w:val="50117696"/>
    <w:rsid w:val="507A2DE3"/>
    <w:rsid w:val="508D267F"/>
    <w:rsid w:val="51781AF3"/>
    <w:rsid w:val="547F72B7"/>
    <w:rsid w:val="54BA76BC"/>
    <w:rsid w:val="55F045A7"/>
    <w:rsid w:val="580617DC"/>
    <w:rsid w:val="58F8339F"/>
    <w:rsid w:val="5A0377E1"/>
    <w:rsid w:val="5ADE6ADE"/>
    <w:rsid w:val="5AE07CE2"/>
    <w:rsid w:val="5B560C6A"/>
    <w:rsid w:val="5C173AFD"/>
    <w:rsid w:val="5CE44D2E"/>
    <w:rsid w:val="5D61627B"/>
    <w:rsid w:val="5E1D07CE"/>
    <w:rsid w:val="5E2E5092"/>
    <w:rsid w:val="5EE4309A"/>
    <w:rsid w:val="5FDA2B51"/>
    <w:rsid w:val="61355E2F"/>
    <w:rsid w:val="62901031"/>
    <w:rsid w:val="64967D1D"/>
    <w:rsid w:val="66A54400"/>
    <w:rsid w:val="67184F5D"/>
    <w:rsid w:val="674C078C"/>
    <w:rsid w:val="69B76EE3"/>
    <w:rsid w:val="6A087CE1"/>
    <w:rsid w:val="6D3F1533"/>
    <w:rsid w:val="70615E34"/>
    <w:rsid w:val="707D65B5"/>
    <w:rsid w:val="70C85DD6"/>
    <w:rsid w:val="71147F83"/>
    <w:rsid w:val="733001DF"/>
    <w:rsid w:val="744B619C"/>
    <w:rsid w:val="75095A0D"/>
    <w:rsid w:val="76E934EC"/>
    <w:rsid w:val="76F86560"/>
    <w:rsid w:val="76FE3E9A"/>
    <w:rsid w:val="789B4942"/>
    <w:rsid w:val="79D96796"/>
    <w:rsid w:val="7A2F4973"/>
    <w:rsid w:val="7A3031E0"/>
    <w:rsid w:val="7AB7FF50"/>
    <w:rsid w:val="7ABA5899"/>
    <w:rsid w:val="7AE6434B"/>
    <w:rsid w:val="7BA54C7E"/>
    <w:rsid w:val="7BED3DEE"/>
    <w:rsid w:val="7BFEB0DB"/>
    <w:rsid w:val="7C5677CA"/>
    <w:rsid w:val="7E5805F1"/>
    <w:rsid w:val="7FBB6F2F"/>
    <w:rsid w:val="7FFF3306"/>
    <w:rsid w:val="C36F37B1"/>
    <w:rsid w:val="CEFD3F3D"/>
    <w:rsid w:val="EA3F77F2"/>
    <w:rsid w:val="EEFE5989"/>
    <w:rsid w:val="EFCF3EAE"/>
    <w:rsid w:val="F5B764A2"/>
    <w:rsid w:val="F77F09F4"/>
    <w:rsid w:val="FFD7BF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20"/>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page number"/>
    <w:basedOn w:val="6"/>
    <w:qFormat/>
    <w:uiPriority w:val="0"/>
  </w:style>
  <w:style w:type="paragraph" w:customStyle="1" w:styleId="8">
    <w:name w:val="列出段落1"/>
    <w:basedOn w:val="1"/>
    <w:qFormat/>
    <w:uiPriority w:val="34"/>
    <w:pPr>
      <w:ind w:firstLine="420" w:firstLineChars="200"/>
    </w:pPr>
    <w:rPr>
      <w:rFonts w:ascii="Calibri" w:hAnsi="Calibri" w:cs="黑体"/>
      <w:szCs w:val="22"/>
    </w:rPr>
  </w:style>
  <w:style w:type="character" w:customStyle="1" w:styleId="9">
    <w:name w:val="font31"/>
    <w:basedOn w:val="6"/>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535A46-BAE2-43E8-83AB-6CFF1D75B7A5}">
  <ds:schemaRefs/>
</ds:datastoreItem>
</file>

<file path=docProps/app.xml><?xml version="1.0" encoding="utf-8"?>
<Properties xmlns="http://schemas.openxmlformats.org/officeDocument/2006/extended-properties" xmlns:vt="http://schemas.openxmlformats.org/officeDocument/2006/docPropsVTypes">
  <Template>Normal</Template>
  <Pages>9</Pages>
  <Words>3411</Words>
  <Characters>3654</Characters>
  <Lines>47</Lines>
  <Paragraphs>13</Paragraphs>
  <TotalTime>4</TotalTime>
  <ScaleCrop>false</ScaleCrop>
  <LinksUpToDate>false</LinksUpToDate>
  <CharactersWithSpaces>3675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2022-03-10T19:16:00Z</dcterms:created>
  <dc:creator>user</dc:creator>
  <cp:lastModifiedBy>dangjinze</cp:lastModifiedBy>
  <dcterms:modified xsi:type="dcterms:W3CDTF">2025-08-27T09:27:19Z</dcterms:modified>
  <cp:revision>372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eyJoZGlkIjoiODQ1YWQ5N2EzODUxMWJhZjZmYmQ5OTlkNWJhZDRjNWEifQ==</vt:lpwstr>
  </property>
  <property fmtid="{D5CDD505-2E9C-101B-9397-08002B2CF9AE}" pid="4" name="ICV">
    <vt:lpwstr>2515EC374AD54AB2922F3132D2EC3A5B_12</vt:lpwstr>
  </property>
</Properties>
</file>