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6399E">
      <w:pPr>
        <w:jc w:val="center"/>
        <w:rPr>
          <w:rFonts w:ascii="方正小标宋简体" w:hAnsi="方正小标宋简体" w:eastAsia="方正小标宋简体" w:cs="Times New Roman"/>
          <w:sz w:val="44"/>
          <w:szCs w:val="44"/>
        </w:rPr>
      </w:pPr>
    </w:p>
    <w:p w14:paraId="2EEBC171">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北京市信访办公室</w:t>
      </w:r>
      <w:r>
        <w:rPr>
          <w:rFonts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rPr>
        <w:t>9年法治政府建设</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情况报告</w:t>
      </w:r>
    </w:p>
    <w:p w14:paraId="11D66C4D">
      <w:pPr>
        <w:ind w:firstLine="640" w:firstLineChars="200"/>
        <w:jc w:val="center"/>
        <w:rPr>
          <w:rFonts w:ascii="黑体" w:eastAsia="黑体" w:cs="Times New Roman"/>
          <w:color w:val="000000"/>
          <w:sz w:val="32"/>
          <w:szCs w:val="32"/>
        </w:rPr>
      </w:pPr>
    </w:p>
    <w:p w14:paraId="3EAA5049">
      <w:pPr>
        <w:ind w:firstLine="640" w:firstLineChars="200"/>
        <w:rPr>
          <w:rFonts w:ascii="仿宋_GB2312" w:hAnsi="仿宋" w:eastAsia="仿宋_GB2312" w:cs="Times New Roman"/>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rPr>
        <w:t>9年，在市委市政府的正确领导下，在各区</w:t>
      </w:r>
      <w:r>
        <w:rPr>
          <w:rFonts w:ascii="仿宋_GB2312" w:eastAsia="仿宋_GB2312" w:cs="仿宋_GB2312"/>
          <w:color w:val="000000"/>
          <w:sz w:val="32"/>
          <w:szCs w:val="32"/>
        </w:rPr>
        <w:t>各部门的大力支持下，</w:t>
      </w:r>
      <w:r>
        <w:rPr>
          <w:rFonts w:hint="eastAsia" w:ascii="仿宋_GB2312" w:eastAsia="仿宋_GB2312" w:cs="仿宋_GB2312"/>
          <w:color w:val="000000"/>
          <w:sz w:val="32"/>
          <w:szCs w:val="32"/>
        </w:rPr>
        <w:t>市信访办认真</w:t>
      </w:r>
      <w:r>
        <w:rPr>
          <w:rFonts w:ascii="仿宋_GB2312" w:eastAsia="仿宋_GB2312" w:cs="仿宋_GB2312"/>
          <w:color w:val="000000"/>
          <w:sz w:val="32"/>
          <w:szCs w:val="32"/>
        </w:rPr>
        <w:t>贯彻落实</w:t>
      </w:r>
      <w:r>
        <w:rPr>
          <w:rFonts w:hint="eastAsia" w:ascii="仿宋_GB2312" w:eastAsia="仿宋_GB2312" w:cs="仿宋_GB2312"/>
          <w:color w:val="000000"/>
          <w:sz w:val="32"/>
          <w:szCs w:val="32"/>
        </w:rPr>
        <w:t>习近平总</w:t>
      </w:r>
      <w:r>
        <w:rPr>
          <w:rFonts w:ascii="仿宋_GB2312" w:eastAsia="仿宋_GB2312" w:cs="仿宋_GB2312"/>
          <w:color w:val="000000"/>
          <w:sz w:val="32"/>
          <w:szCs w:val="32"/>
        </w:rPr>
        <w:t>书记关于加强和改进人民信访工作的重要思想，深化</w:t>
      </w:r>
      <w:r>
        <w:rPr>
          <w:rFonts w:hint="eastAsia" w:ascii="仿宋_GB2312" w:hAnsi="仿宋" w:eastAsia="仿宋_GB2312" w:cs="仿宋_GB2312"/>
          <w:sz w:val="32"/>
          <w:szCs w:val="32"/>
        </w:rPr>
        <w:t>阳光信访、责任信访、法治信访建设，深入</w:t>
      </w:r>
      <w:r>
        <w:rPr>
          <w:rFonts w:ascii="仿宋_GB2312" w:hAnsi="仿宋" w:eastAsia="仿宋_GB2312" w:cs="仿宋_GB2312"/>
          <w:sz w:val="32"/>
          <w:szCs w:val="32"/>
        </w:rPr>
        <w:t>推进信访工作制度</w:t>
      </w:r>
      <w:r>
        <w:rPr>
          <w:rFonts w:hint="eastAsia" w:ascii="仿宋_GB2312" w:hAnsi="仿宋" w:eastAsia="仿宋_GB2312" w:cs="仿宋_GB2312"/>
          <w:sz w:val="32"/>
          <w:szCs w:val="32"/>
        </w:rPr>
        <w:t>改革</w:t>
      </w:r>
      <w:r>
        <w:rPr>
          <w:rFonts w:ascii="仿宋_GB2312" w:hAnsi="仿宋" w:eastAsia="仿宋_GB2312" w:cs="仿宋_GB2312"/>
          <w:sz w:val="32"/>
          <w:szCs w:val="32"/>
        </w:rPr>
        <w:t>措施落实</w:t>
      </w:r>
      <w:r>
        <w:rPr>
          <w:rFonts w:hint="eastAsia" w:ascii="仿宋_GB2312" w:hAnsi="仿宋" w:eastAsia="仿宋_GB2312" w:cs="仿宋_GB2312"/>
          <w:sz w:val="32"/>
          <w:szCs w:val="32"/>
        </w:rPr>
        <w:t>，为圆满完成各项</w:t>
      </w:r>
      <w:r>
        <w:rPr>
          <w:rFonts w:ascii="仿宋_GB2312" w:hAnsi="仿宋" w:eastAsia="仿宋_GB2312" w:cs="仿宋_GB2312"/>
          <w:sz w:val="32"/>
          <w:szCs w:val="32"/>
        </w:rPr>
        <w:t>工作</w:t>
      </w:r>
      <w:r>
        <w:rPr>
          <w:rFonts w:hint="eastAsia" w:ascii="仿宋_GB2312" w:hAnsi="仿宋" w:eastAsia="仿宋_GB2312" w:cs="仿宋_GB2312"/>
          <w:sz w:val="32"/>
          <w:szCs w:val="32"/>
        </w:rPr>
        <w:t>提供</w:t>
      </w:r>
      <w:r>
        <w:rPr>
          <w:rFonts w:ascii="仿宋_GB2312" w:hAnsi="仿宋" w:eastAsia="仿宋_GB2312" w:cs="仿宋_GB2312"/>
          <w:sz w:val="32"/>
          <w:szCs w:val="32"/>
        </w:rPr>
        <w:t>了</w:t>
      </w:r>
      <w:r>
        <w:rPr>
          <w:rFonts w:hint="eastAsia" w:ascii="仿宋_GB2312" w:hAnsi="仿宋" w:eastAsia="仿宋_GB2312" w:cs="仿宋_GB2312"/>
          <w:sz w:val="32"/>
          <w:szCs w:val="32"/>
        </w:rPr>
        <w:t>有力</w:t>
      </w:r>
      <w:r>
        <w:rPr>
          <w:rFonts w:ascii="仿宋_GB2312" w:hAnsi="仿宋" w:eastAsia="仿宋_GB2312" w:cs="仿宋_GB2312"/>
          <w:sz w:val="32"/>
          <w:szCs w:val="32"/>
        </w:rPr>
        <w:t>的法治保障。</w:t>
      </w:r>
      <w:r>
        <w:rPr>
          <w:rFonts w:hint="eastAsia" w:ascii="仿宋_GB2312" w:hAnsi="仿宋" w:eastAsia="仿宋_GB2312" w:cs="仿宋_GB2312"/>
          <w:sz w:val="32"/>
          <w:szCs w:val="32"/>
        </w:rPr>
        <w:t>现将</w:t>
      </w:r>
      <w:r>
        <w:rPr>
          <w:rFonts w:ascii="仿宋_GB2312" w:hAnsi="仿宋" w:eastAsia="仿宋_GB2312" w:cs="仿宋_GB2312"/>
          <w:sz w:val="32"/>
          <w:szCs w:val="32"/>
        </w:rPr>
        <w:t>2019</w:t>
      </w:r>
      <w:r>
        <w:rPr>
          <w:rFonts w:hint="eastAsia" w:ascii="仿宋_GB2312" w:hAnsi="仿宋" w:eastAsia="仿宋_GB2312" w:cs="仿宋_GB2312"/>
          <w:sz w:val="32"/>
          <w:szCs w:val="32"/>
        </w:rPr>
        <w:t>年法治政府建设工作情况报告如下：</w:t>
      </w:r>
      <w:r>
        <w:rPr>
          <w:rFonts w:ascii="宋体" w:cs="Times New Roman"/>
          <w:sz w:val="32"/>
          <w:szCs w:val="32"/>
        </w:rPr>
        <w:t> </w:t>
      </w:r>
    </w:p>
    <w:p w14:paraId="1D118C74">
      <w:pPr>
        <w:ind w:firstLine="640" w:firstLineChars="200"/>
        <w:outlineLvl w:val="0"/>
        <w:rPr>
          <w:rFonts w:ascii="黑体" w:hAnsi="仿宋_GB2312" w:eastAsia="黑体" w:cs="黑体"/>
          <w:sz w:val="32"/>
          <w:szCs w:val="32"/>
        </w:rPr>
      </w:pPr>
      <w:r>
        <w:rPr>
          <w:rFonts w:hint="eastAsia" w:ascii="黑体" w:hAnsi="仿宋_GB2312" w:eastAsia="黑体" w:cs="黑体"/>
          <w:sz w:val="32"/>
          <w:szCs w:val="32"/>
        </w:rPr>
        <w:t>一、本</w:t>
      </w:r>
      <w:r>
        <w:rPr>
          <w:rFonts w:ascii="黑体" w:hAnsi="仿宋_GB2312" w:eastAsia="黑体" w:cs="黑体"/>
          <w:sz w:val="32"/>
          <w:szCs w:val="32"/>
        </w:rPr>
        <w:t>年度推进法治政府建设的主要举措和成效</w:t>
      </w:r>
    </w:p>
    <w:p w14:paraId="55AF361A">
      <w:pPr>
        <w:widowControl/>
        <w:shd w:val="clear" w:color="auto" w:fill="FFFFFF"/>
        <w:ind w:firstLine="707" w:firstLineChars="221"/>
        <w:outlineLvl w:val="0"/>
        <w:rPr>
          <w:rFonts w:ascii="楷体" w:hAnsi="楷体" w:eastAsia="楷体"/>
          <w:sz w:val="32"/>
          <w:szCs w:val="32"/>
        </w:rPr>
      </w:pPr>
      <w:r>
        <w:rPr>
          <w:rFonts w:hint="eastAsia" w:ascii="楷体" w:hAnsi="楷体" w:eastAsia="楷体" w:cs="楷体"/>
          <w:sz w:val="32"/>
          <w:szCs w:val="32"/>
        </w:rPr>
        <w:t>（一）</w:t>
      </w:r>
      <w:r>
        <w:rPr>
          <w:rFonts w:hint="eastAsia" w:ascii="楷体" w:hAnsi="楷体" w:eastAsia="楷体"/>
          <w:sz w:val="32"/>
          <w:szCs w:val="32"/>
        </w:rPr>
        <w:t>加强</w:t>
      </w:r>
      <w:r>
        <w:rPr>
          <w:rFonts w:ascii="楷体" w:hAnsi="楷体" w:eastAsia="楷体"/>
          <w:sz w:val="32"/>
          <w:szCs w:val="32"/>
        </w:rPr>
        <w:t>依法信访工作机制</w:t>
      </w:r>
    </w:p>
    <w:p w14:paraId="1ACFFFF5">
      <w:pPr>
        <w:widowControl/>
        <w:shd w:val="clear" w:color="auto" w:fill="FFFFFF"/>
        <w:ind w:firstLine="566" w:firstLineChars="177"/>
        <w:outlineLvl w:val="1"/>
        <w:rPr>
          <w:rFonts w:eastAsia="仿宋_GB2312"/>
          <w:sz w:val="32"/>
          <w:szCs w:val="32"/>
        </w:rPr>
      </w:pPr>
      <w:r>
        <w:rPr>
          <w:rFonts w:hint="eastAsia" w:ascii="楷体" w:hAnsi="楷体" w:eastAsia="楷体"/>
          <w:sz w:val="32"/>
          <w:szCs w:val="32"/>
        </w:rPr>
        <w:t>着力打造高效便捷</w:t>
      </w:r>
      <w:r>
        <w:rPr>
          <w:rFonts w:ascii="楷体" w:hAnsi="楷体" w:eastAsia="楷体"/>
          <w:sz w:val="32"/>
          <w:szCs w:val="32"/>
        </w:rPr>
        <w:t>规范的</w:t>
      </w:r>
      <w:r>
        <w:rPr>
          <w:rFonts w:hint="eastAsia" w:ascii="楷体" w:hAnsi="楷体" w:eastAsia="楷体"/>
          <w:sz w:val="32"/>
          <w:szCs w:val="32"/>
        </w:rPr>
        <w:t>网上信访主渠道。</w:t>
      </w:r>
      <w:r>
        <w:rPr>
          <w:rFonts w:hint="eastAsia" w:eastAsia="仿宋_GB2312"/>
          <w:sz w:val="32"/>
          <w:szCs w:val="32"/>
        </w:rPr>
        <w:t>深化网上信访信息系统应用，打造集“市长信箱、‘1+16’网上信访平台、手机信访APP、北京信访微信公众号”于一体的网上信访主渠道，形成“信访网上投、事项网上办、结果网上评、问题网上督、形势网上判”的规范化网上信访工作机制。</w:t>
      </w:r>
    </w:p>
    <w:p w14:paraId="529E0F75">
      <w:pPr>
        <w:widowControl/>
        <w:shd w:val="clear" w:color="auto" w:fill="FFFFFF"/>
        <w:ind w:firstLine="566" w:firstLineChars="177"/>
        <w:outlineLvl w:val="1"/>
        <w:rPr>
          <w:rFonts w:ascii="楷体" w:hAnsi="楷体" w:eastAsia="楷体" w:cs="楷体"/>
          <w:sz w:val="32"/>
          <w:szCs w:val="32"/>
        </w:rPr>
      </w:pPr>
      <w:r>
        <w:rPr>
          <w:rFonts w:hint="eastAsia" w:ascii="楷体" w:hAnsi="楷体" w:eastAsia="楷体"/>
          <w:sz w:val="32"/>
          <w:szCs w:val="32"/>
        </w:rPr>
        <w:t>加强</w:t>
      </w:r>
      <w:r>
        <w:rPr>
          <w:rFonts w:ascii="楷体" w:hAnsi="楷体" w:eastAsia="楷体"/>
          <w:sz w:val="32"/>
          <w:szCs w:val="32"/>
        </w:rPr>
        <w:t>信访事项督查督办落实信访工作</w:t>
      </w:r>
      <w:r>
        <w:rPr>
          <w:rFonts w:hint="eastAsia" w:ascii="楷体" w:hAnsi="楷体" w:eastAsia="楷体"/>
          <w:sz w:val="32"/>
          <w:szCs w:val="32"/>
        </w:rPr>
        <w:t>责任。</w:t>
      </w:r>
      <w:r>
        <w:rPr>
          <w:rFonts w:hint="eastAsia" w:eastAsia="仿宋_GB2312"/>
          <w:sz w:val="32"/>
          <w:szCs w:val="32"/>
        </w:rPr>
        <w:t>开展“人民满意窗口”创建活动，明确窗口接待工作标准。强化信访事项督查督办，综合采取系统提醒督办、电话跟踪督办、公文函转督办、会议会商督办、现场调研督办等多种方式加强工作督导，推动化解突出信访问题。</w:t>
      </w:r>
    </w:p>
    <w:p w14:paraId="55FEFE46">
      <w:pPr>
        <w:widowControl/>
        <w:shd w:val="clear" w:color="auto" w:fill="FFFFFF"/>
        <w:ind w:firstLine="566" w:firstLineChars="177"/>
        <w:outlineLvl w:val="1"/>
        <w:rPr>
          <w:rFonts w:ascii="仿宋_GB2312" w:hAnsi="仿宋_GB2312" w:eastAsia="仿宋_GB2312" w:cs="仿宋_GB2312"/>
          <w:sz w:val="32"/>
          <w:szCs w:val="32"/>
        </w:rPr>
      </w:pPr>
      <w:r>
        <w:rPr>
          <w:rFonts w:hint="eastAsia" w:ascii="楷体" w:hAnsi="楷体" w:eastAsia="楷体" w:cs="楷体"/>
          <w:sz w:val="32"/>
          <w:szCs w:val="32"/>
        </w:rPr>
        <w:t>法律顾问制度发挥实效。</w:t>
      </w:r>
      <w:r>
        <w:rPr>
          <w:rFonts w:hint="eastAsia" w:ascii="仿宋_GB2312" w:hAnsi="仿宋_GB2312" w:eastAsia="仿宋_GB2312" w:cs="仿宋_GB2312"/>
          <w:sz w:val="32"/>
          <w:szCs w:val="32"/>
        </w:rPr>
        <w:t>市信访办严格落实政府法律顾问制度和《北京市</w:t>
      </w:r>
      <w:r>
        <w:rPr>
          <w:rFonts w:ascii="仿宋_GB2312" w:hAnsi="仿宋_GB2312" w:eastAsia="仿宋_GB2312" w:cs="仿宋_GB2312"/>
          <w:sz w:val="32"/>
          <w:szCs w:val="32"/>
        </w:rPr>
        <w:t>信访条例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安排专职律师在接访大厅为来访群众提供免费律师咨询。坚持聘请法律</w:t>
      </w:r>
      <w:r>
        <w:rPr>
          <w:rFonts w:ascii="仿宋_GB2312" w:hAnsi="仿宋_GB2312" w:eastAsia="仿宋_GB2312" w:cs="仿宋_GB2312"/>
          <w:sz w:val="32"/>
          <w:szCs w:val="32"/>
        </w:rPr>
        <w:t>顾问为</w:t>
      </w:r>
      <w:r>
        <w:rPr>
          <w:rFonts w:hint="eastAsia" w:ascii="仿宋_GB2312" w:hAnsi="仿宋_GB2312" w:eastAsia="仿宋_GB2312" w:cs="仿宋_GB2312"/>
          <w:sz w:val="32"/>
          <w:szCs w:val="32"/>
        </w:rPr>
        <w:t>信访工作</w:t>
      </w:r>
      <w:r>
        <w:rPr>
          <w:rFonts w:hint="eastAsia" w:ascii="仿宋_GB2312" w:hAnsi="仿宋_GB2312" w:eastAsia="仿宋_GB2312" w:cs="仿宋_GB2312"/>
          <w:color w:val="000000"/>
          <w:sz w:val="32"/>
          <w:szCs w:val="32"/>
        </w:rPr>
        <w:t>提供法律咨询和建议，对处理疑难复杂信访事项进行法律论证，依法提出解决方案；</w:t>
      </w:r>
      <w:r>
        <w:rPr>
          <w:rFonts w:hint="eastAsia" w:ascii="仿宋_GB2312" w:hAnsi="仿宋" w:eastAsia="仿宋_GB2312" w:cs="仿宋"/>
          <w:color w:val="000000"/>
          <w:kern w:val="0"/>
          <w:sz w:val="32"/>
          <w:szCs w:val="32"/>
        </w:rPr>
        <w:t>向信访工作人员讲授法律知识，参与依法行政培训。为</w:t>
      </w:r>
      <w:r>
        <w:rPr>
          <w:rFonts w:ascii="仿宋_GB2312" w:hAnsi="仿宋" w:eastAsia="仿宋_GB2312" w:cs="仿宋"/>
          <w:color w:val="000000"/>
          <w:kern w:val="0"/>
          <w:sz w:val="32"/>
          <w:szCs w:val="32"/>
        </w:rPr>
        <w:t>规范</w:t>
      </w:r>
      <w:r>
        <w:rPr>
          <w:rFonts w:hint="eastAsia" w:ascii="仿宋_GB2312" w:hAnsi="仿宋" w:eastAsia="仿宋_GB2312" w:cs="仿宋"/>
          <w:color w:val="000000"/>
          <w:kern w:val="0"/>
          <w:sz w:val="32"/>
          <w:szCs w:val="32"/>
        </w:rPr>
        <w:t>信访</w:t>
      </w:r>
      <w:r>
        <w:rPr>
          <w:rFonts w:ascii="仿宋_GB2312" w:hAnsi="仿宋" w:eastAsia="仿宋_GB2312" w:cs="仿宋"/>
          <w:color w:val="000000"/>
          <w:kern w:val="0"/>
          <w:sz w:val="32"/>
          <w:szCs w:val="32"/>
        </w:rPr>
        <w:t>工作，提高</w:t>
      </w:r>
      <w:r>
        <w:rPr>
          <w:rFonts w:hint="eastAsia" w:ascii="仿宋_GB2312" w:hAnsi="仿宋" w:eastAsia="仿宋_GB2312" w:cs="仿宋"/>
          <w:color w:val="000000"/>
          <w:kern w:val="0"/>
          <w:sz w:val="32"/>
          <w:szCs w:val="32"/>
        </w:rPr>
        <w:t>信访</w:t>
      </w:r>
      <w:r>
        <w:rPr>
          <w:rFonts w:ascii="仿宋_GB2312" w:hAnsi="仿宋" w:eastAsia="仿宋_GB2312" w:cs="仿宋"/>
          <w:color w:val="000000"/>
          <w:kern w:val="0"/>
          <w:sz w:val="32"/>
          <w:szCs w:val="32"/>
        </w:rPr>
        <w:t>系统工作人员依法行政意识和水平发挥了重要作用</w:t>
      </w:r>
      <w:r>
        <w:rPr>
          <w:rFonts w:ascii="仿宋_GB2312" w:hAnsi="仿宋_GB2312" w:eastAsia="仿宋_GB2312" w:cs="仿宋_GB2312"/>
          <w:bCs/>
          <w:color w:val="000000"/>
          <w:sz w:val="32"/>
          <w:szCs w:val="32"/>
        </w:rPr>
        <w:t>。</w:t>
      </w:r>
    </w:p>
    <w:p w14:paraId="35D26922">
      <w:pPr>
        <w:ind w:firstLine="640" w:firstLineChars="200"/>
        <w:outlineLvl w:val="0"/>
        <w:rPr>
          <w:rFonts w:ascii="楷体" w:hAnsi="楷体" w:eastAsia="楷体" w:cs="Times New Roman"/>
          <w:sz w:val="32"/>
          <w:szCs w:val="32"/>
        </w:rPr>
      </w:pPr>
      <w:r>
        <w:rPr>
          <w:rFonts w:hint="eastAsia" w:ascii="楷体" w:hAnsi="楷体" w:eastAsia="楷体" w:cs="黑体"/>
          <w:sz w:val="32"/>
          <w:szCs w:val="32"/>
        </w:rPr>
        <w:t>（二）强化对行政权力的制约和监督</w:t>
      </w:r>
    </w:p>
    <w:p w14:paraId="691869FE">
      <w:pPr>
        <w:ind w:firstLine="640" w:firstLineChars="200"/>
        <w:outlineLvl w:val="1"/>
        <w:rPr>
          <w:rFonts w:eastAsia="仿宋_GB2312"/>
          <w:sz w:val="32"/>
          <w:szCs w:val="32"/>
        </w:rPr>
      </w:pPr>
      <w:r>
        <w:rPr>
          <w:rFonts w:hint="eastAsia" w:ascii="楷体_GB2312" w:hAnsi="仿宋_GB2312" w:eastAsia="楷体_GB2312" w:cs="楷体_GB2312"/>
          <w:sz w:val="32"/>
          <w:szCs w:val="32"/>
        </w:rPr>
        <w:t>加强</w:t>
      </w:r>
      <w:r>
        <w:rPr>
          <w:rFonts w:ascii="楷体_GB2312" w:hAnsi="仿宋_GB2312" w:eastAsia="楷体_GB2312" w:cs="楷体_GB2312"/>
          <w:sz w:val="32"/>
          <w:szCs w:val="32"/>
        </w:rPr>
        <w:t>业务规范和监督</w:t>
      </w:r>
      <w:r>
        <w:rPr>
          <w:rFonts w:hint="eastAsia" w:ascii="楷体_GB2312" w:hAnsi="仿宋_GB2312" w:eastAsia="楷体_GB2312" w:cs="楷体_GB2312"/>
          <w:sz w:val="32"/>
          <w:szCs w:val="32"/>
        </w:rPr>
        <w:t>。</w:t>
      </w:r>
      <w:r>
        <w:rPr>
          <w:rFonts w:hint="eastAsia" w:eastAsia="仿宋_GB2312"/>
          <w:sz w:val="32"/>
          <w:szCs w:val="32"/>
        </w:rPr>
        <w:t>加强对基层业务指导，严格规范信访诉求受理办理标准，做到全流程管控，全环节检查。加大基础业务规范化自查抽查力度，定期抽查各区各部门信访事项办理</w:t>
      </w:r>
      <w:r>
        <w:rPr>
          <w:rFonts w:eastAsia="仿宋_GB2312"/>
          <w:sz w:val="32"/>
          <w:szCs w:val="32"/>
        </w:rPr>
        <w:t>情况</w:t>
      </w:r>
      <w:r>
        <w:rPr>
          <w:rFonts w:hint="eastAsia" w:eastAsia="仿宋_GB2312"/>
          <w:sz w:val="32"/>
          <w:szCs w:val="32"/>
        </w:rPr>
        <w:t>。强化信访事项复查复核工作，从严规范工作流程。复查复核申请立案受理625件，办结案件641件（包括</w:t>
      </w:r>
      <w:r>
        <w:rPr>
          <w:rFonts w:eastAsia="仿宋_GB2312"/>
          <w:sz w:val="32"/>
          <w:szCs w:val="32"/>
        </w:rPr>
        <w:t>上年结转</w:t>
      </w:r>
      <w:r>
        <w:rPr>
          <w:rFonts w:hint="eastAsia" w:eastAsia="仿宋_GB2312"/>
          <w:sz w:val="32"/>
          <w:szCs w:val="32"/>
        </w:rPr>
        <w:t>），责令有关单位规范处理信访事项132件。</w:t>
      </w:r>
    </w:p>
    <w:p w14:paraId="51E7380D">
      <w:pPr>
        <w:ind w:firstLine="640" w:firstLineChars="200"/>
        <w:outlineLvl w:val="1"/>
        <w:rPr>
          <w:rFonts w:ascii="仿宋_GB2312" w:eastAsia="仿宋_GB2312"/>
          <w:sz w:val="32"/>
          <w:szCs w:val="32"/>
        </w:rPr>
      </w:pPr>
      <w:r>
        <w:rPr>
          <w:rFonts w:hint="eastAsia" w:ascii="楷体_GB2312" w:hAnsi="仿宋_GB2312" w:eastAsia="楷体_GB2312" w:cs="楷体_GB2312"/>
          <w:sz w:val="32"/>
          <w:szCs w:val="32"/>
        </w:rPr>
        <w:t>政务</w:t>
      </w:r>
      <w:r>
        <w:rPr>
          <w:rFonts w:ascii="楷体_GB2312" w:hAnsi="仿宋_GB2312" w:eastAsia="楷体_GB2312" w:cs="楷体_GB2312"/>
          <w:sz w:val="32"/>
          <w:szCs w:val="32"/>
        </w:rPr>
        <w:t>信息</w:t>
      </w:r>
      <w:r>
        <w:rPr>
          <w:rFonts w:hint="eastAsia" w:ascii="楷体_GB2312" w:hAnsi="仿宋_GB2312" w:eastAsia="楷体_GB2312" w:cs="楷体_GB2312"/>
          <w:sz w:val="32"/>
          <w:szCs w:val="32"/>
        </w:rPr>
        <w:t>主动</w:t>
      </w:r>
      <w:r>
        <w:rPr>
          <w:rFonts w:ascii="楷体_GB2312" w:hAnsi="仿宋_GB2312" w:eastAsia="楷体_GB2312" w:cs="楷体_GB2312"/>
          <w:sz w:val="32"/>
          <w:szCs w:val="32"/>
        </w:rPr>
        <w:t>公开</w:t>
      </w:r>
      <w:r>
        <w:rPr>
          <w:rFonts w:hint="eastAsia" w:ascii="楷体_GB2312" w:hAnsi="仿宋_GB2312" w:eastAsia="楷体_GB2312" w:cs="楷体_GB2312"/>
          <w:sz w:val="32"/>
          <w:szCs w:val="32"/>
        </w:rPr>
        <w:t>工作持续</w:t>
      </w:r>
      <w:r>
        <w:rPr>
          <w:rFonts w:ascii="楷体_GB2312" w:hAnsi="仿宋_GB2312" w:eastAsia="楷体_GB2312" w:cs="楷体_GB2312"/>
          <w:sz w:val="32"/>
          <w:szCs w:val="32"/>
        </w:rPr>
        <w:t>推进</w:t>
      </w:r>
      <w:r>
        <w:rPr>
          <w:rFonts w:hint="eastAsia" w:ascii="楷体_GB2312" w:hAnsi="仿宋_GB2312" w:eastAsia="楷体_GB2312" w:cs="楷体_GB2312"/>
          <w:sz w:val="32"/>
          <w:szCs w:val="32"/>
        </w:rPr>
        <w:t>。</w:t>
      </w:r>
      <w:r>
        <w:rPr>
          <w:rFonts w:hint="eastAsia" w:ascii="仿宋_GB2312" w:hAnsi="仿宋_GB2312" w:eastAsia="仿宋_GB2312" w:cs="仿宋_GB2312"/>
          <w:sz w:val="32"/>
          <w:szCs w:val="32"/>
        </w:rPr>
        <w:t>2019年7月18日，北京市信访办网站完成升级改造，强化了网站内容保障能力，优化了网站栏目设置和展现形式，促进了政府网站的政务公开能力。</w:t>
      </w:r>
      <w:r>
        <w:rPr>
          <w:rFonts w:hint="eastAsia" w:ascii="仿宋_GB2312" w:eastAsia="仿宋_GB2312"/>
          <w:sz w:val="32"/>
          <w:szCs w:val="32"/>
        </w:rPr>
        <w:t>严格对照新修订的《中华人民共和国政府信息公开条例》，对照“国办要点”“本市要点”确定的重点领域信息公开范围，严格对照《2019年政府信息主动公开任务分解表》在我办官网显著位置对相关信息予以公开。</w:t>
      </w:r>
    </w:p>
    <w:p w14:paraId="4A3D741F">
      <w:pPr>
        <w:ind w:firstLine="640" w:firstLineChars="200"/>
        <w:outlineLvl w:val="1"/>
        <w:rPr>
          <w:rFonts w:ascii="仿宋_GB2312" w:hAnsi="仿宋_GB2312" w:eastAsia="仿宋_GB2312" w:cs="仿宋_GB2312"/>
          <w:color w:val="000000"/>
          <w:sz w:val="32"/>
          <w:szCs w:val="32"/>
        </w:rPr>
      </w:pPr>
      <w:r>
        <w:rPr>
          <w:rFonts w:hint="eastAsia" w:ascii="楷体" w:hAnsi="楷体" w:eastAsia="楷体" w:cs="楷体"/>
          <w:sz w:val="32"/>
          <w:szCs w:val="32"/>
        </w:rPr>
        <w:t>依法做好行政复议和行政应诉工作。</w:t>
      </w:r>
      <w:r>
        <w:rPr>
          <w:rFonts w:hint="eastAsia" w:ascii="仿宋_GB2312" w:hAnsi="仿宋_GB2312" w:eastAsia="仿宋_GB2312" w:cs="仿宋_GB2312"/>
          <w:color w:val="000000"/>
          <w:sz w:val="32"/>
          <w:szCs w:val="32"/>
        </w:rPr>
        <w:t>今年以来，我办承办的以市政府名义作为被复议、诉讼主体的案件</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件，其中行政复议</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件，行政诉讼</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件。每件案件均按期提交行政复议答复和行政诉讼答辩状以及证据材料，及时返回送达回证，积极配合案件调查取证，如实说明重要情况，严格依法履行</w:t>
      </w:r>
      <w:r>
        <w:rPr>
          <w:rFonts w:ascii="仿宋_GB2312" w:hAnsi="仿宋_GB2312" w:eastAsia="仿宋_GB2312" w:cs="仿宋_GB2312"/>
          <w:color w:val="000000"/>
          <w:sz w:val="32"/>
          <w:szCs w:val="32"/>
        </w:rPr>
        <w:t>了法定职责</w:t>
      </w:r>
      <w:r>
        <w:rPr>
          <w:rFonts w:hint="eastAsia" w:ascii="仿宋_GB2312" w:hAnsi="仿宋_GB2312" w:eastAsia="仿宋_GB2312" w:cs="仿宋_GB2312"/>
          <w:color w:val="000000"/>
          <w:sz w:val="32"/>
          <w:szCs w:val="32"/>
        </w:rPr>
        <w:t>。</w:t>
      </w:r>
    </w:p>
    <w:p w14:paraId="7E88F20A">
      <w:pPr>
        <w:ind w:firstLine="640" w:firstLineChars="200"/>
        <w:outlineLvl w:val="1"/>
        <w:rPr>
          <w:rFonts w:ascii="仿宋_GB2312" w:eastAsia="仿宋_GB2312"/>
          <w:sz w:val="32"/>
          <w:szCs w:val="32"/>
        </w:rPr>
      </w:pPr>
      <w:r>
        <w:rPr>
          <w:rFonts w:hint="eastAsia" w:ascii="楷体" w:hAnsi="楷体" w:eastAsia="楷体" w:cs="仿宋_GB2312"/>
          <w:color w:val="000000"/>
          <w:sz w:val="32"/>
          <w:szCs w:val="32"/>
        </w:rPr>
        <w:t>落实《中华人民共和国政府信息公开条例》法定</w:t>
      </w:r>
      <w:r>
        <w:rPr>
          <w:rFonts w:ascii="楷体" w:hAnsi="楷体" w:eastAsia="楷体" w:cs="仿宋_GB2312"/>
          <w:color w:val="000000"/>
          <w:sz w:val="32"/>
          <w:szCs w:val="32"/>
        </w:rPr>
        <w:t>义务</w:t>
      </w:r>
      <w:r>
        <w:rPr>
          <w:rFonts w:hint="eastAsia" w:ascii="楷体" w:hAnsi="楷体" w:eastAsia="楷体" w:cs="仿宋_GB2312"/>
          <w:color w:val="000000"/>
          <w:sz w:val="32"/>
          <w:szCs w:val="32"/>
        </w:rPr>
        <w:t>。</w:t>
      </w:r>
      <w:r>
        <w:rPr>
          <w:rFonts w:hint="eastAsia" w:ascii="仿宋_GB2312" w:eastAsia="仿宋_GB2312"/>
          <w:sz w:val="32"/>
          <w:szCs w:val="32"/>
        </w:rPr>
        <w:t>政府</w:t>
      </w:r>
      <w:r>
        <w:rPr>
          <w:rFonts w:ascii="仿宋_GB2312" w:eastAsia="仿宋_GB2312"/>
          <w:sz w:val="32"/>
          <w:szCs w:val="32"/>
        </w:rPr>
        <w:t>信息依申请公开工作中，</w:t>
      </w:r>
      <w:r>
        <w:rPr>
          <w:rFonts w:hint="eastAsia" w:ascii="仿宋_GB2312" w:eastAsia="仿宋_GB2312"/>
          <w:sz w:val="32"/>
          <w:szCs w:val="32"/>
        </w:rPr>
        <w:t>严格</w:t>
      </w:r>
      <w:r>
        <w:rPr>
          <w:rFonts w:ascii="仿宋_GB2312" w:eastAsia="仿宋_GB2312"/>
          <w:sz w:val="32"/>
          <w:szCs w:val="32"/>
        </w:rPr>
        <w:t>确保信函、网络申请受理和咨询电话的</w:t>
      </w:r>
      <w:r>
        <w:rPr>
          <w:rFonts w:hint="eastAsia" w:ascii="仿宋_GB2312" w:eastAsia="仿宋_GB2312"/>
          <w:sz w:val="32"/>
          <w:szCs w:val="32"/>
        </w:rPr>
        <w:t>渠道</w:t>
      </w:r>
      <w:r>
        <w:rPr>
          <w:rFonts w:ascii="仿宋_GB2312" w:eastAsia="仿宋_GB2312"/>
          <w:sz w:val="32"/>
          <w:szCs w:val="32"/>
        </w:rPr>
        <w:t>畅通</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年共</w:t>
      </w:r>
      <w:r>
        <w:rPr>
          <w:rFonts w:ascii="仿宋_GB2312" w:eastAsia="仿宋_GB2312"/>
          <w:sz w:val="32"/>
          <w:szCs w:val="32"/>
        </w:rPr>
        <w:t>受理</w:t>
      </w:r>
      <w:r>
        <w:rPr>
          <w:rFonts w:hint="eastAsia" w:ascii="仿宋_GB2312" w:eastAsia="仿宋_GB2312"/>
          <w:sz w:val="32"/>
          <w:szCs w:val="32"/>
        </w:rPr>
        <w:t>信函</w:t>
      </w:r>
      <w:r>
        <w:rPr>
          <w:rFonts w:ascii="仿宋_GB2312" w:eastAsia="仿宋_GB2312"/>
          <w:sz w:val="32"/>
          <w:szCs w:val="32"/>
        </w:rPr>
        <w:t>、网络渠道信息公开申请30</w:t>
      </w:r>
      <w:r>
        <w:rPr>
          <w:rFonts w:hint="eastAsia" w:ascii="仿宋_GB2312" w:eastAsia="仿宋_GB2312"/>
          <w:sz w:val="32"/>
          <w:szCs w:val="32"/>
        </w:rPr>
        <w:t>件。全部在法定</w:t>
      </w:r>
      <w:r>
        <w:rPr>
          <w:rFonts w:ascii="仿宋_GB2312" w:eastAsia="仿宋_GB2312"/>
          <w:sz w:val="32"/>
          <w:szCs w:val="32"/>
        </w:rPr>
        <w:t>时限内</w:t>
      </w:r>
      <w:r>
        <w:rPr>
          <w:rFonts w:hint="eastAsia" w:ascii="仿宋_GB2312" w:eastAsia="仿宋_GB2312"/>
          <w:sz w:val="32"/>
          <w:szCs w:val="32"/>
        </w:rPr>
        <w:t>规范</w:t>
      </w:r>
      <w:r>
        <w:rPr>
          <w:rFonts w:ascii="仿宋_GB2312" w:eastAsia="仿宋_GB2312"/>
          <w:sz w:val="32"/>
          <w:szCs w:val="32"/>
        </w:rPr>
        <w:t>答复</w:t>
      </w:r>
      <w:r>
        <w:rPr>
          <w:rFonts w:hint="eastAsia" w:ascii="仿宋_GB2312" w:eastAsia="仿宋_GB2312"/>
          <w:sz w:val="32"/>
          <w:szCs w:val="32"/>
        </w:rPr>
        <w:t>，</w:t>
      </w:r>
      <w:r>
        <w:rPr>
          <w:rFonts w:ascii="仿宋_GB2312" w:eastAsia="仿宋_GB2312"/>
          <w:sz w:val="32"/>
          <w:szCs w:val="32"/>
        </w:rPr>
        <w:t>答复内容具有针对性</w:t>
      </w:r>
      <w:r>
        <w:rPr>
          <w:rFonts w:hint="eastAsia" w:ascii="仿宋_GB2312" w:eastAsia="仿宋_GB2312"/>
          <w:sz w:val="32"/>
          <w:szCs w:val="32"/>
        </w:rPr>
        <w:t>，答复</w:t>
      </w:r>
      <w:r>
        <w:rPr>
          <w:rFonts w:ascii="仿宋_GB2312" w:eastAsia="仿宋_GB2312"/>
          <w:sz w:val="32"/>
          <w:szCs w:val="32"/>
        </w:rPr>
        <w:t>告知书中援引</w:t>
      </w:r>
      <w:r>
        <w:rPr>
          <w:rFonts w:hint="eastAsia" w:ascii="仿宋_GB2312" w:eastAsia="仿宋_GB2312"/>
          <w:sz w:val="32"/>
          <w:szCs w:val="32"/>
        </w:rPr>
        <w:t>《中华人民共和国政府信息公开条例》</w:t>
      </w:r>
      <w:bookmarkStart w:id="0" w:name="_GoBack"/>
      <w:bookmarkEnd w:id="0"/>
      <w:r>
        <w:rPr>
          <w:rFonts w:hint="eastAsia" w:ascii="仿宋_GB2312" w:eastAsia="仿宋_GB2312"/>
          <w:sz w:val="32"/>
          <w:szCs w:val="32"/>
        </w:rPr>
        <w:t>法定依据</w:t>
      </w:r>
      <w:r>
        <w:rPr>
          <w:rFonts w:ascii="仿宋_GB2312" w:eastAsia="仿宋_GB2312"/>
          <w:sz w:val="32"/>
          <w:szCs w:val="32"/>
        </w:rPr>
        <w:t>，并明示</w:t>
      </w:r>
      <w:r>
        <w:rPr>
          <w:rFonts w:hint="eastAsia" w:ascii="仿宋_GB2312" w:eastAsia="仿宋_GB2312"/>
          <w:sz w:val="32"/>
          <w:szCs w:val="32"/>
        </w:rPr>
        <w:t>申请人</w:t>
      </w:r>
      <w:r>
        <w:rPr>
          <w:rFonts w:ascii="仿宋_GB2312" w:eastAsia="仿宋_GB2312"/>
          <w:sz w:val="32"/>
          <w:szCs w:val="32"/>
        </w:rPr>
        <w:t>救济渠道</w:t>
      </w:r>
      <w:r>
        <w:rPr>
          <w:rFonts w:hint="eastAsia" w:ascii="仿宋_GB2312" w:eastAsia="仿宋_GB2312"/>
          <w:sz w:val="32"/>
          <w:szCs w:val="32"/>
        </w:rPr>
        <w:t>。</w:t>
      </w:r>
    </w:p>
    <w:p w14:paraId="70881175">
      <w:pPr>
        <w:widowControl/>
        <w:shd w:val="clear" w:color="auto" w:fill="FFFFFF"/>
        <w:ind w:firstLine="640" w:firstLineChars="200"/>
        <w:outlineLvl w:val="0"/>
        <w:rPr>
          <w:rFonts w:ascii="楷体" w:hAnsi="楷体" w:eastAsia="楷体" w:cs="Times New Roman"/>
          <w:sz w:val="32"/>
          <w:szCs w:val="32"/>
        </w:rPr>
      </w:pPr>
      <w:r>
        <w:rPr>
          <w:rFonts w:hint="eastAsia" w:ascii="楷体" w:hAnsi="楷体" w:eastAsia="楷体" w:cs="黑体"/>
          <w:sz w:val="32"/>
          <w:szCs w:val="32"/>
        </w:rPr>
        <w:t>（三）依法有效化解社会矛盾纠纷</w:t>
      </w:r>
    </w:p>
    <w:p w14:paraId="78C1E5F6">
      <w:pPr>
        <w:ind w:firstLine="640" w:firstLineChars="200"/>
        <w:outlineLvl w:val="1"/>
        <w:rPr>
          <w:rFonts w:eastAsia="仿宋_GB2312"/>
          <w:sz w:val="32"/>
          <w:szCs w:val="32"/>
        </w:rPr>
      </w:pPr>
      <w:r>
        <w:rPr>
          <w:rFonts w:hint="eastAsia" w:ascii="楷体" w:hAnsi="楷体" w:eastAsia="楷体" w:cs="楷体"/>
          <w:color w:val="000000"/>
          <w:sz w:val="32"/>
          <w:szCs w:val="32"/>
        </w:rPr>
        <w:t>发挥矛盾</w:t>
      </w:r>
      <w:r>
        <w:rPr>
          <w:rFonts w:ascii="楷体" w:hAnsi="楷体" w:eastAsia="楷体" w:cs="楷体"/>
          <w:color w:val="000000"/>
          <w:sz w:val="32"/>
          <w:szCs w:val="32"/>
        </w:rPr>
        <w:t>排查制度作用，</w:t>
      </w:r>
      <w:r>
        <w:rPr>
          <w:rFonts w:hint="eastAsia" w:ascii="楷体" w:hAnsi="楷体" w:eastAsia="楷体" w:cs="楷体"/>
          <w:color w:val="000000"/>
          <w:sz w:val="32"/>
          <w:szCs w:val="32"/>
        </w:rPr>
        <w:t>着力防范和减少信访问题发生。</w:t>
      </w:r>
      <w:r>
        <w:rPr>
          <w:rFonts w:hint="eastAsia" w:eastAsia="仿宋_GB2312"/>
          <w:sz w:val="32"/>
          <w:szCs w:val="32"/>
        </w:rPr>
        <w:t>定期排查与动态排查相结合、边排查与边化解相结合。全年先后组织开展2次</w:t>
      </w:r>
      <w:r>
        <w:rPr>
          <w:rFonts w:eastAsia="仿宋_GB2312"/>
          <w:sz w:val="32"/>
          <w:szCs w:val="32"/>
        </w:rPr>
        <w:t>全市大排查和</w:t>
      </w:r>
      <w:r>
        <w:rPr>
          <w:rFonts w:hint="eastAsia" w:eastAsia="仿宋_GB2312"/>
          <w:sz w:val="32"/>
          <w:szCs w:val="32"/>
        </w:rPr>
        <w:t>17次</w:t>
      </w:r>
      <w:r>
        <w:rPr>
          <w:rFonts w:eastAsia="仿宋_GB2312"/>
          <w:sz w:val="32"/>
          <w:szCs w:val="32"/>
        </w:rPr>
        <w:t>专项排查。</w:t>
      </w:r>
      <w:r>
        <w:rPr>
          <w:rFonts w:hint="eastAsia" w:eastAsia="仿宋_GB2312"/>
          <w:sz w:val="32"/>
          <w:szCs w:val="32"/>
        </w:rPr>
        <w:t>各个重点时期开展不间断动态排查。</w:t>
      </w:r>
    </w:p>
    <w:p w14:paraId="1BAAD30C">
      <w:pPr>
        <w:ind w:firstLine="640" w:firstLineChars="200"/>
        <w:outlineLvl w:val="1"/>
        <w:rPr>
          <w:rFonts w:ascii="楷体" w:hAnsi="楷体" w:eastAsia="楷体"/>
          <w:sz w:val="32"/>
          <w:szCs w:val="32"/>
        </w:rPr>
      </w:pPr>
      <w:r>
        <w:rPr>
          <w:rFonts w:hint="eastAsia" w:ascii="楷体" w:hAnsi="楷体" w:eastAsia="楷体"/>
          <w:sz w:val="32"/>
          <w:szCs w:val="32"/>
        </w:rPr>
        <w:t>规范</w:t>
      </w:r>
      <w:r>
        <w:rPr>
          <w:rFonts w:ascii="楷体" w:hAnsi="楷体" w:eastAsia="楷体"/>
          <w:sz w:val="32"/>
          <w:szCs w:val="32"/>
        </w:rPr>
        <w:t>内部管理制度，</w:t>
      </w:r>
      <w:r>
        <w:rPr>
          <w:rFonts w:hint="eastAsia" w:ascii="楷体" w:hAnsi="楷体" w:eastAsia="楷体"/>
          <w:sz w:val="32"/>
          <w:szCs w:val="32"/>
        </w:rPr>
        <w:t>打造“人民满意窗口”。对</w:t>
      </w:r>
      <w:r>
        <w:rPr>
          <w:rFonts w:hint="eastAsia" w:eastAsia="仿宋_GB2312"/>
          <w:sz w:val="32"/>
          <w:szCs w:val="32"/>
        </w:rPr>
        <w:t>中心城区和副中心两个接待场所</w:t>
      </w:r>
      <w:r>
        <w:rPr>
          <w:rFonts w:eastAsia="仿宋_GB2312"/>
          <w:sz w:val="32"/>
          <w:szCs w:val="32"/>
        </w:rPr>
        <w:t>建章立制，</w:t>
      </w:r>
      <w:r>
        <w:rPr>
          <w:rFonts w:hint="eastAsia" w:eastAsia="仿宋_GB2312"/>
          <w:sz w:val="32"/>
          <w:szCs w:val="32"/>
        </w:rPr>
        <w:t>加强</w:t>
      </w:r>
      <w:r>
        <w:rPr>
          <w:rFonts w:eastAsia="仿宋_GB2312"/>
          <w:sz w:val="32"/>
          <w:szCs w:val="32"/>
        </w:rPr>
        <w:t>内部管理</w:t>
      </w:r>
      <w:r>
        <w:rPr>
          <w:rFonts w:hint="eastAsia" w:eastAsia="仿宋_GB2312"/>
          <w:sz w:val="32"/>
          <w:szCs w:val="32"/>
        </w:rPr>
        <w:t>，</w:t>
      </w:r>
      <w:r>
        <w:rPr>
          <w:rFonts w:hint="eastAsia" w:ascii="仿宋_GB2312" w:eastAsia="仿宋_GB2312"/>
          <w:sz w:val="32"/>
          <w:szCs w:val="32"/>
        </w:rPr>
        <w:t>优化来访</w:t>
      </w:r>
      <w:r>
        <w:rPr>
          <w:rFonts w:ascii="仿宋_GB2312" w:eastAsia="仿宋_GB2312"/>
          <w:sz w:val="32"/>
          <w:szCs w:val="32"/>
        </w:rPr>
        <w:t>接待流程</w:t>
      </w:r>
      <w:r>
        <w:rPr>
          <w:rFonts w:hint="eastAsia" w:ascii="仿宋_GB2312" w:eastAsia="仿宋_GB2312"/>
          <w:sz w:val="32"/>
          <w:szCs w:val="32"/>
        </w:rPr>
        <w:t>，完善场所设施建设，</w:t>
      </w:r>
      <w:r>
        <w:rPr>
          <w:rFonts w:ascii="仿宋_GB2312" w:eastAsia="仿宋_GB2312"/>
          <w:sz w:val="32"/>
          <w:szCs w:val="32"/>
        </w:rPr>
        <w:t>热情</w:t>
      </w:r>
      <w:r>
        <w:rPr>
          <w:rFonts w:hint="eastAsia" w:ascii="仿宋_GB2312" w:eastAsia="仿宋_GB2312"/>
          <w:sz w:val="32"/>
          <w:szCs w:val="32"/>
        </w:rPr>
        <w:t>接待群众来访，</w:t>
      </w:r>
      <w:r>
        <w:rPr>
          <w:rFonts w:ascii="仿宋_GB2312" w:eastAsia="仿宋_GB2312"/>
          <w:sz w:val="32"/>
          <w:szCs w:val="32"/>
        </w:rPr>
        <w:t>规范办理信访事项</w:t>
      </w:r>
      <w:r>
        <w:rPr>
          <w:rFonts w:hint="eastAsia" w:ascii="仿宋_GB2312" w:hAnsi="楷体" w:eastAsia="仿宋_GB2312"/>
          <w:sz w:val="32"/>
          <w:szCs w:val="32"/>
        </w:rPr>
        <w:t>。</w:t>
      </w:r>
    </w:p>
    <w:p w14:paraId="1FB04037">
      <w:pPr>
        <w:ind w:firstLine="640" w:firstLineChars="200"/>
        <w:outlineLvl w:val="1"/>
        <w:rPr>
          <w:rFonts w:eastAsia="仿宋_GB2312"/>
          <w:sz w:val="32"/>
          <w:szCs w:val="32"/>
        </w:rPr>
      </w:pPr>
      <w:r>
        <w:rPr>
          <w:rFonts w:hint="eastAsia" w:ascii="楷体" w:hAnsi="楷体" w:eastAsia="楷体"/>
          <w:sz w:val="32"/>
          <w:szCs w:val="32"/>
        </w:rPr>
        <w:t>认真落实人民建议征集制度。</w:t>
      </w:r>
      <w:r>
        <w:rPr>
          <w:rFonts w:hint="eastAsia" w:eastAsia="仿宋_GB2312"/>
          <w:sz w:val="32"/>
          <w:szCs w:val="32"/>
        </w:rPr>
        <w:t>围绕市政府2019年重点工作任务和民生社会热点问题，选定18个方面议题开展日常征集，办理有效建议2712件次；在全市开展“2020年重要民生实事项目线索征集”活动，办理群众意见建议6122件次。通过首都之窗“人民建议征集”专栏择优发布典型建议40件。</w:t>
      </w:r>
    </w:p>
    <w:p w14:paraId="141B0F7F">
      <w:pPr>
        <w:ind w:firstLine="640" w:firstLineChars="200"/>
        <w:outlineLvl w:val="0"/>
        <w:rPr>
          <w:rFonts w:ascii="楷体" w:hAnsi="楷体" w:eastAsia="楷体" w:cs="Times New Roman"/>
          <w:color w:val="000000"/>
          <w:sz w:val="32"/>
          <w:szCs w:val="32"/>
        </w:rPr>
      </w:pPr>
      <w:r>
        <w:rPr>
          <w:rFonts w:hint="eastAsia" w:ascii="楷体" w:hAnsi="楷体" w:eastAsia="楷体"/>
          <w:sz w:val="32"/>
          <w:szCs w:val="32"/>
        </w:rPr>
        <w:t>（四）</w:t>
      </w:r>
      <w:r>
        <w:rPr>
          <w:rFonts w:hint="eastAsia" w:ascii="楷体" w:hAnsi="楷体" w:eastAsia="楷体" w:cs="Times New Roman"/>
          <w:color w:val="000000"/>
          <w:sz w:val="32"/>
          <w:szCs w:val="32"/>
        </w:rPr>
        <w:t>深入</w:t>
      </w:r>
      <w:r>
        <w:rPr>
          <w:rFonts w:ascii="楷体" w:hAnsi="楷体" w:eastAsia="楷体" w:cs="Times New Roman"/>
          <w:color w:val="000000"/>
          <w:sz w:val="32"/>
          <w:szCs w:val="32"/>
        </w:rPr>
        <w:t>贯彻落实“</w:t>
      </w:r>
      <w:r>
        <w:rPr>
          <w:rFonts w:hint="eastAsia" w:ascii="楷体" w:hAnsi="楷体" w:eastAsia="楷体" w:cs="Times New Roman"/>
          <w:color w:val="000000"/>
          <w:sz w:val="32"/>
          <w:szCs w:val="32"/>
        </w:rPr>
        <w:t>谁执法</w:t>
      </w:r>
      <w:r>
        <w:rPr>
          <w:rFonts w:ascii="楷体" w:hAnsi="楷体" w:eastAsia="楷体" w:cs="Times New Roman"/>
          <w:color w:val="000000"/>
          <w:sz w:val="32"/>
          <w:szCs w:val="32"/>
        </w:rPr>
        <w:t>谁普法”</w:t>
      </w:r>
      <w:r>
        <w:rPr>
          <w:rFonts w:hint="eastAsia" w:ascii="楷体" w:hAnsi="楷体" w:eastAsia="楷体" w:cs="Times New Roman"/>
          <w:color w:val="000000"/>
          <w:sz w:val="32"/>
          <w:szCs w:val="32"/>
        </w:rPr>
        <w:t>普法</w:t>
      </w:r>
      <w:r>
        <w:rPr>
          <w:rFonts w:ascii="楷体" w:hAnsi="楷体" w:eastAsia="楷体" w:cs="Times New Roman"/>
          <w:color w:val="000000"/>
          <w:sz w:val="32"/>
          <w:szCs w:val="32"/>
        </w:rPr>
        <w:t>责任制，</w:t>
      </w:r>
      <w:r>
        <w:rPr>
          <w:rFonts w:hint="eastAsia" w:ascii="楷体" w:hAnsi="楷体" w:eastAsia="楷体" w:cs="黑体"/>
          <w:color w:val="000000"/>
          <w:sz w:val="32"/>
          <w:szCs w:val="32"/>
        </w:rPr>
        <w:t>大力开展信访法治宣传</w:t>
      </w:r>
    </w:p>
    <w:p w14:paraId="37580F78">
      <w:pPr>
        <w:ind w:firstLine="640" w:firstLineChars="200"/>
        <w:rPr>
          <w:rFonts w:eastAsia="仿宋_GB2312"/>
          <w:sz w:val="32"/>
          <w:szCs w:val="32"/>
        </w:rPr>
      </w:pPr>
      <w:r>
        <w:rPr>
          <w:rFonts w:hint="eastAsia" w:ascii="楷体" w:hAnsi="楷体" w:eastAsia="楷体"/>
          <w:sz w:val="32"/>
          <w:szCs w:val="32"/>
        </w:rPr>
        <w:t>在全市开展“打造网上主渠道，智慧信访更阳光”为主题的信访条例宣传月活动。</w:t>
      </w:r>
      <w:r>
        <w:rPr>
          <w:rFonts w:hint="eastAsia" w:eastAsia="仿宋_GB2312"/>
          <w:sz w:val="32"/>
          <w:szCs w:val="32"/>
        </w:rPr>
        <w:t>充分利用主流媒体和新媒体平台宣传网上信访主渠道，采取灵活多样的形式，在全市300多个街乡镇及百余个市区两级委办局设立宣传站点，通过约3万条标语横幅、海报展板宣传</w:t>
      </w:r>
      <w:r>
        <w:rPr>
          <w:rFonts w:eastAsia="仿宋_GB2312"/>
          <w:sz w:val="32"/>
          <w:szCs w:val="32"/>
        </w:rPr>
        <w:t>国务院《</w:t>
      </w:r>
      <w:r>
        <w:rPr>
          <w:rFonts w:hint="eastAsia" w:eastAsia="仿宋_GB2312"/>
          <w:sz w:val="32"/>
          <w:szCs w:val="32"/>
        </w:rPr>
        <w:t>信访条例》和《北京市</w:t>
      </w:r>
      <w:r>
        <w:rPr>
          <w:rFonts w:eastAsia="仿宋_GB2312"/>
          <w:sz w:val="32"/>
          <w:szCs w:val="32"/>
        </w:rPr>
        <w:t>信访条例》</w:t>
      </w:r>
      <w:r>
        <w:rPr>
          <w:rFonts w:hint="eastAsia" w:eastAsia="仿宋_GB2312"/>
          <w:sz w:val="32"/>
          <w:szCs w:val="32"/>
        </w:rPr>
        <w:t>等，发放信访知识宣传折页、宣传品约45万份，接受现场咨询万余人次，树立依法</w:t>
      </w:r>
      <w:r>
        <w:rPr>
          <w:rFonts w:eastAsia="仿宋_GB2312"/>
          <w:sz w:val="32"/>
          <w:szCs w:val="32"/>
        </w:rPr>
        <w:t>信访、</w:t>
      </w:r>
      <w:r>
        <w:rPr>
          <w:rFonts w:hint="eastAsia" w:eastAsia="仿宋_GB2312"/>
          <w:sz w:val="32"/>
          <w:szCs w:val="32"/>
        </w:rPr>
        <w:t>网上信访、文明</w:t>
      </w:r>
      <w:r>
        <w:rPr>
          <w:rFonts w:eastAsia="仿宋_GB2312"/>
          <w:sz w:val="32"/>
          <w:szCs w:val="32"/>
        </w:rPr>
        <w:t>信访的</w:t>
      </w:r>
      <w:r>
        <w:rPr>
          <w:rFonts w:hint="eastAsia" w:eastAsia="仿宋_GB2312"/>
          <w:sz w:val="32"/>
          <w:szCs w:val="32"/>
        </w:rPr>
        <w:t>导向，为推动法治信访营造了良好的社会氛围。</w:t>
      </w:r>
    </w:p>
    <w:p w14:paraId="1CCCDE05">
      <w:pPr>
        <w:ind w:firstLine="640" w:firstLineChars="200"/>
        <w:outlineLvl w:val="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本年度推进法治政府建设存在的不足和原因</w:t>
      </w:r>
    </w:p>
    <w:p w14:paraId="35657DA4">
      <w:pPr>
        <w:widowControl/>
        <w:shd w:val="clear" w:color="auto" w:fill="FFFFFF"/>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日常法治工作宣传及对群众的普法教育工作力度还需</w:t>
      </w:r>
      <w:r>
        <w:rPr>
          <w:rFonts w:ascii="仿宋_GB2312" w:hAnsi="宋体" w:eastAsia="仿宋_GB2312" w:cs="宋体"/>
          <w:color w:val="000000"/>
          <w:kern w:val="0"/>
          <w:sz w:val="32"/>
          <w:szCs w:val="32"/>
        </w:rPr>
        <w:t>加大</w:t>
      </w:r>
      <w:r>
        <w:rPr>
          <w:rFonts w:hint="eastAsia" w:ascii="仿宋_GB2312" w:hAnsi="宋体" w:eastAsia="仿宋_GB2312" w:cs="宋体"/>
          <w:color w:val="000000"/>
          <w:kern w:val="0"/>
          <w:sz w:val="32"/>
          <w:szCs w:val="32"/>
        </w:rPr>
        <w:t>。引导群众提高依法信访意识的</w:t>
      </w:r>
      <w:r>
        <w:rPr>
          <w:rFonts w:ascii="仿宋_GB2312" w:hAnsi="宋体" w:eastAsia="仿宋_GB2312" w:cs="宋体"/>
          <w:color w:val="000000"/>
          <w:kern w:val="0"/>
          <w:sz w:val="32"/>
          <w:szCs w:val="32"/>
        </w:rPr>
        <w:t>内容需要增加</w:t>
      </w:r>
      <w:r>
        <w:rPr>
          <w:rFonts w:hint="eastAsia" w:ascii="仿宋_GB2312" w:hAnsi="宋体" w:eastAsia="仿宋_GB2312" w:cs="宋体"/>
          <w:color w:val="000000"/>
          <w:kern w:val="0"/>
          <w:sz w:val="32"/>
          <w:szCs w:val="32"/>
        </w:rPr>
        <w:t>，便于</w:t>
      </w:r>
      <w:r>
        <w:rPr>
          <w:rFonts w:ascii="仿宋_GB2312" w:hAnsi="宋体" w:eastAsia="仿宋_GB2312" w:cs="宋体"/>
          <w:color w:val="000000"/>
          <w:kern w:val="0"/>
          <w:sz w:val="32"/>
          <w:szCs w:val="32"/>
        </w:rPr>
        <w:t>群众了解</w:t>
      </w:r>
      <w:r>
        <w:rPr>
          <w:rFonts w:hint="eastAsia" w:ascii="仿宋_GB2312" w:hAnsi="宋体" w:eastAsia="仿宋_GB2312" w:cs="宋体"/>
          <w:color w:val="000000"/>
          <w:kern w:val="0"/>
          <w:sz w:val="32"/>
          <w:szCs w:val="32"/>
        </w:rPr>
        <w:t>信访工作程序的</w:t>
      </w:r>
      <w:r>
        <w:rPr>
          <w:rFonts w:ascii="仿宋_GB2312" w:hAnsi="宋体" w:eastAsia="仿宋_GB2312" w:cs="宋体"/>
          <w:color w:val="000000"/>
          <w:kern w:val="0"/>
          <w:sz w:val="32"/>
          <w:szCs w:val="32"/>
        </w:rPr>
        <w:t>宣传</w:t>
      </w:r>
      <w:r>
        <w:rPr>
          <w:rFonts w:hint="eastAsia" w:ascii="仿宋_GB2312" w:hAnsi="宋体" w:eastAsia="仿宋_GB2312" w:cs="宋体"/>
          <w:color w:val="000000"/>
          <w:kern w:val="0"/>
          <w:sz w:val="32"/>
          <w:szCs w:val="32"/>
        </w:rPr>
        <w:t>形式</w:t>
      </w:r>
      <w:r>
        <w:rPr>
          <w:rFonts w:ascii="仿宋_GB2312" w:hAnsi="宋体" w:eastAsia="仿宋_GB2312" w:cs="宋体"/>
          <w:color w:val="000000"/>
          <w:kern w:val="0"/>
          <w:sz w:val="32"/>
          <w:szCs w:val="32"/>
        </w:rPr>
        <w:t>还需多样化</w:t>
      </w:r>
      <w:r>
        <w:rPr>
          <w:rFonts w:hint="eastAsia" w:ascii="仿宋_GB2312" w:hAnsi="宋体" w:eastAsia="仿宋_GB2312" w:cs="宋体"/>
          <w:color w:val="000000"/>
          <w:kern w:val="0"/>
          <w:sz w:val="32"/>
          <w:szCs w:val="32"/>
        </w:rPr>
        <w:t>。</w:t>
      </w:r>
    </w:p>
    <w:p w14:paraId="5AB70073">
      <w:pPr>
        <w:widowControl/>
        <w:shd w:val="clear" w:color="auto" w:fill="FFFFFF"/>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政务信息主动公开的内容及形式比较单一。主动公开的主要途径为官方网站，公开较多的内容还是工作动态，展现形式主要是文字+照片形式，增强政府信息传播可视性、可读性、可感性，增强政府信息的吸引力、亲和力的能力有待提高。</w:t>
      </w:r>
    </w:p>
    <w:p w14:paraId="34BEAADD">
      <w:pPr>
        <w:widowControl/>
        <w:shd w:val="clear" w:color="auto" w:fill="FFFFFF"/>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信访</w:t>
      </w:r>
      <w:r>
        <w:rPr>
          <w:rFonts w:ascii="仿宋_GB2312" w:hAnsi="宋体" w:eastAsia="仿宋_GB2312" w:cs="宋体"/>
          <w:color w:val="000000"/>
          <w:kern w:val="0"/>
          <w:sz w:val="32"/>
          <w:szCs w:val="32"/>
        </w:rPr>
        <w:t>事项办理中</w:t>
      </w:r>
      <w:r>
        <w:rPr>
          <w:rFonts w:hint="eastAsia" w:ascii="仿宋_GB2312" w:hAnsi="宋体" w:eastAsia="仿宋_GB2312" w:cs="宋体"/>
          <w:color w:val="000000"/>
          <w:kern w:val="0"/>
          <w:sz w:val="32"/>
          <w:szCs w:val="32"/>
        </w:rPr>
        <w:t>运用法治思维化解</w:t>
      </w:r>
      <w:r>
        <w:rPr>
          <w:rFonts w:ascii="仿宋_GB2312" w:hAnsi="宋体" w:eastAsia="仿宋_GB2312" w:cs="宋体"/>
          <w:color w:val="000000"/>
          <w:kern w:val="0"/>
          <w:sz w:val="32"/>
          <w:szCs w:val="32"/>
        </w:rPr>
        <w:t>矛盾纠纷的</w:t>
      </w:r>
      <w:r>
        <w:rPr>
          <w:rFonts w:hint="eastAsia" w:ascii="仿宋_GB2312" w:hAnsi="宋体" w:eastAsia="仿宋_GB2312" w:cs="宋体"/>
          <w:color w:val="000000"/>
          <w:kern w:val="0"/>
          <w:sz w:val="32"/>
          <w:szCs w:val="32"/>
        </w:rPr>
        <w:t>理念需要继续加强。法制工作的</w:t>
      </w:r>
      <w:r>
        <w:rPr>
          <w:rFonts w:ascii="仿宋_GB2312" w:hAnsi="宋体" w:eastAsia="仿宋_GB2312" w:cs="宋体"/>
          <w:color w:val="000000"/>
          <w:kern w:val="0"/>
          <w:sz w:val="32"/>
          <w:szCs w:val="32"/>
        </w:rPr>
        <w:t>内部</w:t>
      </w:r>
      <w:r>
        <w:rPr>
          <w:rFonts w:hint="eastAsia" w:ascii="仿宋_GB2312" w:hAnsi="宋体" w:eastAsia="仿宋_GB2312" w:cs="宋体"/>
          <w:color w:val="000000"/>
          <w:kern w:val="0"/>
          <w:sz w:val="32"/>
          <w:szCs w:val="32"/>
        </w:rPr>
        <w:t>业务交流、培训与基层</w:t>
      </w:r>
      <w:r>
        <w:rPr>
          <w:rFonts w:ascii="仿宋_GB2312" w:hAnsi="宋体" w:eastAsia="仿宋_GB2312" w:cs="宋体"/>
          <w:color w:val="000000"/>
          <w:kern w:val="0"/>
          <w:sz w:val="32"/>
          <w:szCs w:val="32"/>
        </w:rPr>
        <w:t>单位的需求</w:t>
      </w:r>
      <w:r>
        <w:rPr>
          <w:rFonts w:hint="eastAsia" w:ascii="仿宋_GB2312" w:hAnsi="宋体" w:eastAsia="仿宋_GB2312" w:cs="宋体"/>
          <w:color w:val="000000"/>
          <w:kern w:val="0"/>
          <w:sz w:val="32"/>
          <w:szCs w:val="32"/>
        </w:rPr>
        <w:t>还有</w:t>
      </w:r>
      <w:r>
        <w:rPr>
          <w:rFonts w:ascii="仿宋_GB2312" w:hAnsi="宋体" w:eastAsia="仿宋_GB2312" w:cs="宋体"/>
          <w:color w:val="000000"/>
          <w:kern w:val="0"/>
          <w:sz w:val="32"/>
          <w:szCs w:val="32"/>
        </w:rPr>
        <w:t>差距，</w:t>
      </w:r>
      <w:r>
        <w:rPr>
          <w:rFonts w:hint="eastAsia" w:ascii="仿宋_GB2312" w:hAnsi="宋体" w:eastAsia="仿宋_GB2312" w:cs="宋体"/>
          <w:color w:val="000000"/>
          <w:kern w:val="0"/>
          <w:sz w:val="32"/>
          <w:szCs w:val="32"/>
        </w:rPr>
        <w:t>依法行政</w:t>
      </w:r>
      <w:r>
        <w:rPr>
          <w:rFonts w:ascii="仿宋_GB2312" w:hAnsi="宋体" w:eastAsia="仿宋_GB2312" w:cs="宋体"/>
          <w:color w:val="000000"/>
          <w:kern w:val="0"/>
          <w:sz w:val="32"/>
          <w:szCs w:val="32"/>
        </w:rPr>
        <w:t>案</w:t>
      </w:r>
      <w:r>
        <w:rPr>
          <w:rFonts w:ascii="仿宋_GB2312" w:hAnsi="宋体" w:eastAsia="仿宋_GB2312" w:cs="宋体"/>
          <w:color w:val="000000" w:themeColor="text1"/>
          <w:kern w:val="0"/>
          <w:sz w:val="32"/>
          <w:szCs w:val="32"/>
          <w14:textFill>
            <w14:solidFill>
              <w14:schemeClr w14:val="tx1"/>
            </w14:solidFill>
          </w14:textFill>
        </w:rPr>
        <w:t>例、</w:t>
      </w:r>
      <w:r>
        <w:rPr>
          <w:rFonts w:hint="eastAsia" w:ascii="仿宋_GB2312" w:hAnsi="宋体" w:eastAsia="仿宋_GB2312" w:cs="宋体"/>
          <w:color w:val="000000" w:themeColor="text1"/>
          <w:kern w:val="0"/>
          <w:sz w:val="32"/>
          <w:szCs w:val="32"/>
          <w14:textFill>
            <w14:solidFill>
              <w14:schemeClr w14:val="tx1"/>
            </w14:solidFill>
          </w14:textFill>
        </w:rPr>
        <w:t>经验交流，探讨疑难问题的</w:t>
      </w:r>
      <w:r>
        <w:rPr>
          <w:rFonts w:ascii="仿宋_GB2312" w:hAnsi="宋体" w:eastAsia="仿宋_GB2312" w:cs="宋体"/>
          <w:color w:val="000000" w:themeColor="text1"/>
          <w:kern w:val="0"/>
          <w:sz w:val="32"/>
          <w:szCs w:val="32"/>
          <w14:textFill>
            <w14:solidFill>
              <w14:schemeClr w14:val="tx1"/>
            </w14:solidFill>
          </w14:textFill>
        </w:rPr>
        <w:t>途径</w:t>
      </w:r>
      <w:r>
        <w:rPr>
          <w:rFonts w:hint="eastAsia" w:ascii="仿宋_GB2312" w:hAnsi="宋体" w:eastAsia="仿宋_GB2312" w:cs="宋体"/>
          <w:color w:val="000000" w:themeColor="text1"/>
          <w:kern w:val="0"/>
          <w:sz w:val="32"/>
          <w:szCs w:val="32"/>
          <w14:textFill>
            <w14:solidFill>
              <w14:schemeClr w14:val="tx1"/>
            </w14:solidFill>
          </w14:textFill>
        </w:rPr>
        <w:t>需要</w:t>
      </w:r>
      <w:r>
        <w:rPr>
          <w:rFonts w:ascii="仿宋_GB2312" w:hAnsi="宋体" w:eastAsia="仿宋_GB2312" w:cs="宋体"/>
          <w:color w:val="000000" w:themeColor="text1"/>
          <w:kern w:val="0"/>
          <w:sz w:val="32"/>
          <w:szCs w:val="32"/>
          <w14:textFill>
            <w14:solidFill>
              <w14:schemeClr w14:val="tx1"/>
            </w14:solidFill>
          </w14:textFill>
        </w:rPr>
        <w:t>扩展</w:t>
      </w:r>
      <w:r>
        <w:rPr>
          <w:rFonts w:hint="eastAsia" w:ascii="仿宋_GB2312" w:hAnsi="宋体" w:eastAsia="仿宋_GB2312" w:cs="宋体"/>
          <w:color w:val="000000" w:themeColor="text1"/>
          <w:kern w:val="0"/>
          <w:sz w:val="32"/>
          <w:szCs w:val="32"/>
          <w14:textFill>
            <w14:solidFill>
              <w14:schemeClr w14:val="tx1"/>
            </w14:solidFill>
          </w14:textFill>
        </w:rPr>
        <w:t>，运用法治</w:t>
      </w:r>
      <w:r>
        <w:rPr>
          <w:rFonts w:ascii="仿宋_GB2312" w:hAnsi="宋体" w:eastAsia="仿宋_GB2312" w:cs="宋体"/>
          <w:color w:val="000000" w:themeColor="text1"/>
          <w:kern w:val="0"/>
          <w:sz w:val="32"/>
          <w:szCs w:val="32"/>
          <w14:textFill>
            <w14:solidFill>
              <w14:schemeClr w14:val="tx1"/>
            </w14:solidFill>
          </w14:textFill>
        </w:rPr>
        <w:t>思维解决</w:t>
      </w:r>
      <w:r>
        <w:rPr>
          <w:rFonts w:hint="eastAsia" w:ascii="仿宋_GB2312" w:hAnsi="宋体" w:eastAsia="仿宋_GB2312" w:cs="宋体"/>
          <w:color w:val="000000" w:themeColor="text1"/>
          <w:kern w:val="0"/>
          <w:sz w:val="32"/>
          <w:szCs w:val="32"/>
          <w14:textFill>
            <w14:solidFill>
              <w14:schemeClr w14:val="tx1"/>
            </w14:solidFill>
          </w14:textFill>
        </w:rPr>
        <w:t>信访实务</w:t>
      </w:r>
      <w:r>
        <w:rPr>
          <w:rFonts w:ascii="仿宋_GB2312" w:hAnsi="宋体" w:eastAsia="仿宋_GB2312" w:cs="宋体"/>
          <w:color w:val="000000" w:themeColor="text1"/>
          <w:kern w:val="0"/>
          <w:sz w:val="32"/>
          <w:szCs w:val="32"/>
          <w14:textFill>
            <w14:solidFill>
              <w14:schemeClr w14:val="tx1"/>
            </w14:solidFill>
          </w14:textFill>
        </w:rPr>
        <w:t>问题的能力和</w:t>
      </w:r>
      <w:r>
        <w:rPr>
          <w:rFonts w:hint="eastAsia" w:ascii="仿宋_GB2312" w:hAnsi="宋体" w:eastAsia="仿宋_GB2312" w:cs="宋体"/>
          <w:color w:val="000000" w:themeColor="text1"/>
          <w:kern w:val="0"/>
          <w:sz w:val="32"/>
          <w:szCs w:val="32"/>
          <w14:textFill>
            <w14:solidFill>
              <w14:schemeClr w14:val="tx1"/>
            </w14:solidFill>
          </w14:textFill>
        </w:rPr>
        <w:t>水平需要进一步提升。</w:t>
      </w:r>
    </w:p>
    <w:p w14:paraId="41E68976">
      <w:pPr>
        <w:ind w:firstLine="640" w:firstLineChars="200"/>
        <w:outlineLvl w:val="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、本年度党政主要负责人履行推进法治建设第一责任人职责，加强法治政府建设有关情况</w:t>
      </w:r>
    </w:p>
    <w:p w14:paraId="3EDC0F59">
      <w:pPr>
        <w:spacing w:line="560" w:lineRule="exact"/>
        <w:ind w:firstLine="640" w:firstLineChars="200"/>
        <w:outlineLvl w:val="1"/>
        <w:rPr>
          <w:rFonts w:ascii="楷体" w:hAnsi="楷体" w:eastAsia="楷体"/>
          <w:sz w:val="32"/>
          <w:szCs w:val="32"/>
        </w:rPr>
      </w:pPr>
      <w:r>
        <w:rPr>
          <w:rFonts w:hint="eastAsia" w:ascii="楷体" w:hAnsi="楷体" w:eastAsia="楷体"/>
          <w:sz w:val="32"/>
          <w:szCs w:val="32"/>
        </w:rPr>
        <w:t>加强党对信访法治工作的领导。</w:t>
      </w:r>
      <w:r>
        <w:rPr>
          <w:rFonts w:hint="eastAsia" w:eastAsia="仿宋_GB2312"/>
          <w:sz w:val="32"/>
          <w:szCs w:val="32"/>
        </w:rPr>
        <w:t>认真</w:t>
      </w:r>
      <w:r>
        <w:rPr>
          <w:rFonts w:eastAsia="仿宋_GB2312"/>
          <w:sz w:val="32"/>
          <w:szCs w:val="32"/>
        </w:rPr>
        <w:t>学习习近平总书记关于全面依法治国的</w:t>
      </w:r>
      <w:r>
        <w:rPr>
          <w:rFonts w:hint="eastAsia" w:eastAsia="仿宋_GB2312"/>
          <w:sz w:val="32"/>
          <w:szCs w:val="32"/>
        </w:rPr>
        <w:t>理念思想，把党的政治建设摆在首要位置，把抓住关键少数作为核心，坚持抓支部打基础，认真落实党建工作责任制，树立良好的政治生态。扎实开展“不忘初心、牢记使命”主题教育，深刻理解全面依法治国是中国特色社会主义的本质要求和重要保障。领导班子开展专题交流研讨7次、办领导讲党课6次，领导班子成员累计到基层调研36次，解决问题28个，组织全办党员干部集中学习2批次，开展交流研讨2次。</w:t>
      </w:r>
    </w:p>
    <w:p w14:paraId="1A98188C">
      <w:pPr>
        <w:widowControl/>
        <w:shd w:val="clear" w:color="auto" w:fill="FFFFFF"/>
        <w:ind w:firstLine="707" w:firstLineChars="239"/>
        <w:outlineLvl w:val="1"/>
        <w:rPr>
          <w:rFonts w:eastAsia="仿宋_GB2312"/>
          <w:spacing w:val="-12"/>
          <w:sz w:val="32"/>
          <w:szCs w:val="32"/>
        </w:rPr>
      </w:pPr>
      <w:r>
        <w:rPr>
          <w:rFonts w:ascii="楷体" w:hAnsi="楷体" w:eastAsia="楷体" w:cs="楷体"/>
          <w:spacing w:val="-12"/>
          <w:sz w:val="32"/>
          <w:szCs w:val="32"/>
        </w:rPr>
        <w:t>深入细致安排部署</w:t>
      </w:r>
      <w:r>
        <w:rPr>
          <w:rFonts w:hint="eastAsia" w:ascii="楷体" w:hAnsi="楷体" w:eastAsia="楷体" w:cs="楷体"/>
          <w:spacing w:val="-12"/>
          <w:sz w:val="32"/>
          <w:szCs w:val="32"/>
        </w:rPr>
        <w:t>。</w:t>
      </w:r>
      <w:r>
        <w:rPr>
          <w:rFonts w:hint="eastAsia" w:eastAsia="仿宋_GB2312"/>
          <w:spacing w:val="-12"/>
          <w:sz w:val="32"/>
          <w:szCs w:val="32"/>
        </w:rPr>
        <w:t>学习贯彻全国信访局长会议精神，结合国家信访局和市委市政府有关决策部署，认真总结2018年工作，分析研究形势，先后多次召开全市来访接待、来信办理、网上信访工作会以及积案化解工作推进会，提升</w:t>
      </w:r>
      <w:r>
        <w:rPr>
          <w:rFonts w:eastAsia="仿宋_GB2312"/>
          <w:spacing w:val="-12"/>
          <w:sz w:val="32"/>
          <w:szCs w:val="32"/>
        </w:rPr>
        <w:t>工作规范化程度，</w:t>
      </w:r>
      <w:r>
        <w:rPr>
          <w:rFonts w:hint="eastAsia" w:eastAsia="仿宋_GB2312"/>
          <w:spacing w:val="-12"/>
          <w:sz w:val="32"/>
          <w:szCs w:val="32"/>
        </w:rPr>
        <w:t>强调</w:t>
      </w:r>
      <w:r>
        <w:rPr>
          <w:rFonts w:eastAsia="仿宋_GB2312"/>
          <w:spacing w:val="-12"/>
          <w:sz w:val="32"/>
          <w:szCs w:val="32"/>
        </w:rPr>
        <w:t>依法解决信访问题，</w:t>
      </w:r>
      <w:r>
        <w:rPr>
          <w:rFonts w:hint="eastAsia" w:eastAsia="仿宋_GB2312"/>
          <w:spacing w:val="-12"/>
          <w:sz w:val="32"/>
          <w:szCs w:val="32"/>
        </w:rPr>
        <w:t>形成全市“一盘棋”工作格局。</w:t>
      </w:r>
    </w:p>
    <w:p w14:paraId="28E49319">
      <w:pPr>
        <w:widowControl/>
        <w:shd w:val="clear" w:color="auto" w:fill="FFFFFF"/>
        <w:ind w:firstLine="566" w:firstLineChars="177"/>
        <w:outlineLvl w:val="1"/>
        <w:rPr>
          <w:rFonts w:ascii="仿宋_GB2312" w:hAnsi="Arial" w:eastAsia="仿宋_GB2312" w:cs="Times New Roman"/>
          <w:sz w:val="32"/>
          <w:szCs w:val="32"/>
        </w:rPr>
      </w:pPr>
      <w:r>
        <w:rPr>
          <w:rFonts w:hint="eastAsia" w:ascii="楷体" w:hAnsi="楷体" w:eastAsia="楷体" w:cs="楷体"/>
          <w:sz w:val="32"/>
          <w:szCs w:val="32"/>
        </w:rPr>
        <w:t>认真落实领导干部会前学法及依法行政培训制度，提高法治意识和依法行政</w:t>
      </w:r>
      <w:r>
        <w:rPr>
          <w:rFonts w:ascii="楷体" w:hAnsi="楷体" w:eastAsia="楷体" w:cs="楷体"/>
          <w:sz w:val="32"/>
          <w:szCs w:val="32"/>
        </w:rPr>
        <w:t>能力</w:t>
      </w:r>
      <w:r>
        <w:rPr>
          <w:rFonts w:hint="eastAsia" w:ascii="楷体" w:hAnsi="楷体" w:eastAsia="楷体" w:cs="楷体"/>
          <w:sz w:val="32"/>
          <w:szCs w:val="32"/>
        </w:rPr>
        <w:t>。</w:t>
      </w:r>
      <w:r>
        <w:rPr>
          <w:rFonts w:hint="eastAsia" w:ascii="仿宋_GB2312" w:hAnsi="楷体" w:eastAsia="仿宋_GB2312" w:cs="楷体"/>
          <w:sz w:val="32"/>
          <w:szCs w:val="32"/>
        </w:rPr>
        <w:t>扎实开展</w:t>
      </w:r>
      <w:r>
        <w:rPr>
          <w:rFonts w:hint="eastAsia" w:ascii="仿宋_GB2312" w:hAnsi="Arial" w:eastAsia="仿宋_GB2312" w:cs="仿宋_GB2312"/>
          <w:sz w:val="32"/>
          <w:szCs w:val="32"/>
        </w:rPr>
        <w:t>领导干部会前学法，</w:t>
      </w:r>
      <w:r>
        <w:rPr>
          <w:rFonts w:hint="eastAsia" w:ascii="仿宋_GB2312" w:hAnsi="楷体" w:eastAsia="仿宋_GB2312" w:cs="楷体"/>
          <w:sz w:val="32"/>
          <w:szCs w:val="32"/>
        </w:rPr>
        <w:t>在党组扩大会、主任办公会上</w:t>
      </w:r>
      <w:r>
        <w:rPr>
          <w:rFonts w:hint="eastAsia" w:ascii="仿宋_GB2312" w:hAnsi="Arial" w:eastAsia="仿宋_GB2312" w:cs="仿宋_GB2312"/>
          <w:sz w:val="32"/>
          <w:szCs w:val="32"/>
        </w:rPr>
        <w:t>学习《</w:t>
      </w:r>
      <w:r>
        <w:rPr>
          <w:rFonts w:ascii="仿宋_GB2312" w:hAnsi="Arial" w:eastAsia="仿宋_GB2312" w:cs="仿宋_GB2312"/>
          <w:sz w:val="32"/>
          <w:szCs w:val="32"/>
        </w:rPr>
        <w:t>中华人民共和国城乡规划法》《</w:t>
      </w:r>
      <w:r>
        <w:rPr>
          <w:rFonts w:hint="eastAsia" w:ascii="仿宋_GB2312" w:hAnsi="Arial" w:eastAsia="仿宋_GB2312" w:cs="仿宋_GB2312"/>
          <w:sz w:val="32"/>
          <w:szCs w:val="32"/>
        </w:rPr>
        <w:t>中华</w:t>
      </w:r>
      <w:r>
        <w:rPr>
          <w:rFonts w:ascii="仿宋_GB2312" w:hAnsi="Arial" w:eastAsia="仿宋_GB2312" w:cs="仿宋_GB2312"/>
          <w:sz w:val="32"/>
          <w:szCs w:val="32"/>
        </w:rPr>
        <w:t>人民共和国行政诉讼法》</w:t>
      </w:r>
      <w:r>
        <w:rPr>
          <w:rFonts w:hint="eastAsia" w:ascii="仿宋_GB2312" w:hAnsi="Arial" w:eastAsia="仿宋_GB2312" w:cs="仿宋_GB2312"/>
          <w:sz w:val="32"/>
          <w:szCs w:val="32"/>
        </w:rPr>
        <w:t>《中华人民共和国政府信息公开条例》等法律法规</w:t>
      </w:r>
      <w:r>
        <w:rPr>
          <w:rFonts w:ascii="仿宋_GB2312" w:hAnsi="Arial" w:eastAsia="仿宋_GB2312" w:cs="仿宋_GB2312"/>
          <w:sz w:val="32"/>
          <w:szCs w:val="32"/>
        </w:rPr>
        <w:t>，并对</w:t>
      </w:r>
      <w:r>
        <w:rPr>
          <w:rFonts w:hint="eastAsia" w:ascii="仿宋_GB2312" w:hAnsi="Arial" w:eastAsia="仿宋_GB2312" w:cs="仿宋_GB2312"/>
          <w:sz w:val="32"/>
          <w:szCs w:val="32"/>
        </w:rPr>
        <w:t>系列依法行政案例进行剖析。完善长效机制</w:t>
      </w:r>
      <w:r>
        <w:rPr>
          <w:rFonts w:ascii="仿宋_GB2312" w:hAnsi="Arial" w:eastAsia="仿宋_GB2312" w:cs="仿宋_GB2312"/>
          <w:sz w:val="32"/>
          <w:szCs w:val="32"/>
        </w:rPr>
        <w:t>，</w:t>
      </w:r>
      <w:r>
        <w:rPr>
          <w:rFonts w:hint="eastAsia" w:ascii="仿宋_GB2312" w:hAnsi="Arial" w:eastAsia="仿宋_GB2312" w:cs="仿宋_GB2312"/>
          <w:sz w:val="32"/>
          <w:szCs w:val="32"/>
        </w:rPr>
        <w:t>不断</w:t>
      </w:r>
      <w:r>
        <w:rPr>
          <w:rFonts w:ascii="仿宋_GB2312" w:hAnsi="Arial" w:eastAsia="仿宋_GB2312" w:cs="仿宋_GB2312"/>
          <w:sz w:val="32"/>
          <w:szCs w:val="32"/>
        </w:rPr>
        <w:t>强化</w:t>
      </w:r>
      <w:r>
        <w:rPr>
          <w:rFonts w:hint="eastAsia" w:ascii="仿宋_GB2312" w:hAnsi="Arial" w:eastAsia="仿宋_GB2312" w:cs="仿宋_GB2312"/>
          <w:sz w:val="32"/>
          <w:szCs w:val="32"/>
        </w:rPr>
        <w:t>领导</w:t>
      </w:r>
      <w:r>
        <w:rPr>
          <w:rFonts w:ascii="仿宋_GB2312" w:hAnsi="Arial" w:eastAsia="仿宋_GB2312" w:cs="仿宋_GB2312"/>
          <w:sz w:val="32"/>
          <w:szCs w:val="32"/>
        </w:rPr>
        <w:t>干部法治意识，推进依法行政和依法办事</w:t>
      </w:r>
      <w:r>
        <w:rPr>
          <w:rFonts w:hint="eastAsia" w:ascii="仿宋_GB2312" w:hAnsi="Arial" w:eastAsia="仿宋_GB2312" w:cs="仿宋_GB2312"/>
          <w:sz w:val="32"/>
          <w:szCs w:val="32"/>
        </w:rPr>
        <w:t>。在依法行政培训中，深入讲解行政机关在</w:t>
      </w:r>
      <w:r>
        <w:rPr>
          <w:rFonts w:hint="eastAsia" w:ascii="仿宋_GB2312" w:hAnsi="仿宋" w:eastAsia="仿宋_GB2312" w:cs="仿宋_GB2312"/>
          <w:sz w:val="32"/>
          <w:szCs w:val="32"/>
        </w:rPr>
        <w:t>行政诉讼中易发生的法律风险，</w:t>
      </w:r>
      <w:r>
        <w:rPr>
          <w:rFonts w:hint="eastAsia" w:ascii="仿宋_GB2312" w:hAnsi="Arial" w:eastAsia="仿宋_GB2312" w:cs="仿宋_GB2312"/>
          <w:sz w:val="32"/>
          <w:szCs w:val="32"/>
        </w:rPr>
        <w:t>违法建设拆除工作法律实务，工作中</w:t>
      </w:r>
      <w:r>
        <w:rPr>
          <w:rFonts w:hint="eastAsia" w:ascii="仿宋_GB2312" w:hAnsi="仿宋" w:eastAsia="仿宋_GB2312" w:cs="仿宋_GB2312"/>
          <w:sz w:val="32"/>
          <w:szCs w:val="32"/>
        </w:rPr>
        <w:t>如何界定信访事项和行政依法履职的关系，法治信访</w:t>
      </w:r>
      <w:r>
        <w:rPr>
          <w:rFonts w:hint="eastAsia" w:ascii="仿宋_GB2312" w:hAnsi="仿宋_GB2312" w:eastAsia="仿宋_GB2312" w:cs="仿宋_GB2312"/>
          <w:sz w:val="32"/>
          <w:szCs w:val="32"/>
        </w:rPr>
        <w:t>维度下的“三到位一处理”的法律实践与思考等内容。</w:t>
      </w:r>
      <w:r>
        <w:rPr>
          <w:rFonts w:hint="eastAsia" w:ascii="仿宋_GB2312" w:hAnsi="Arial" w:eastAsia="仿宋_GB2312" w:cs="仿宋_GB2312"/>
          <w:sz w:val="32"/>
          <w:szCs w:val="32"/>
        </w:rPr>
        <w:t>通过学习培训，全办领导干部依法行政的意识进一步提升，运用法治思维和法治方式解决实务问题的能力得到了进一步提升。</w:t>
      </w:r>
    </w:p>
    <w:p w14:paraId="55D6BD7D">
      <w:pPr>
        <w:spacing w:line="560" w:lineRule="exact"/>
        <w:ind w:firstLine="640" w:firstLineChars="200"/>
        <w:outlineLvl w:val="0"/>
        <w:rPr>
          <w:rFonts w:ascii="黑体" w:eastAsia="黑体" w:cs="Times New Roman"/>
          <w:color w:val="000000"/>
          <w:sz w:val="32"/>
          <w:szCs w:val="32"/>
        </w:rPr>
      </w:pPr>
      <w:r>
        <w:rPr>
          <w:rFonts w:hint="eastAsia" w:ascii="黑体" w:hAnsi="黑体" w:eastAsia="黑体" w:cs="黑体"/>
          <w:sz w:val="32"/>
          <w:szCs w:val="32"/>
        </w:rPr>
        <w:t>四、</w:t>
      </w:r>
      <w:r>
        <w:rPr>
          <w:rFonts w:ascii="黑体" w:eastAsia="黑体" w:cs="黑体"/>
          <w:color w:val="000000"/>
          <w:sz w:val="32"/>
          <w:szCs w:val="32"/>
        </w:rPr>
        <w:t>2020</w:t>
      </w:r>
      <w:r>
        <w:rPr>
          <w:rFonts w:hint="eastAsia" w:ascii="黑体" w:eastAsia="黑体" w:cs="黑体"/>
          <w:color w:val="000000"/>
          <w:sz w:val="32"/>
          <w:szCs w:val="32"/>
        </w:rPr>
        <w:t>年拟推进法治政府建设的重点工作</w:t>
      </w:r>
    </w:p>
    <w:p w14:paraId="3EAB39CD">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w:t>
      </w:r>
      <w:r>
        <w:rPr>
          <w:rFonts w:ascii="楷体_GB2312" w:eastAsia="楷体_GB2312"/>
          <w:sz w:val="32"/>
          <w:szCs w:val="32"/>
        </w:rPr>
        <w:t>加强党对信访工作的领导</w:t>
      </w:r>
    </w:p>
    <w:p w14:paraId="3F8FC350">
      <w:pPr>
        <w:spacing w:line="560" w:lineRule="exact"/>
        <w:ind w:firstLine="640" w:firstLineChars="200"/>
        <w:rPr>
          <w:rFonts w:ascii="仿宋_GB2312" w:eastAsia="仿宋_GB2312"/>
          <w:sz w:val="32"/>
          <w:szCs w:val="32"/>
        </w:rPr>
      </w:pPr>
      <w:r>
        <w:rPr>
          <w:rFonts w:hint="eastAsia" w:ascii="仿宋_GB2312" w:eastAsia="仿宋_GB2312"/>
          <w:sz w:val="32"/>
          <w:szCs w:val="32"/>
        </w:rPr>
        <w:t>深入学习习近平总书记关于加强和改进人民信访工作的重要思想。深入学习贯彻党的十九届四中全会精神，</w:t>
      </w:r>
      <w:r>
        <w:rPr>
          <w:rFonts w:ascii="仿宋_GB2312" w:eastAsia="仿宋_GB2312"/>
          <w:sz w:val="32"/>
          <w:szCs w:val="32"/>
        </w:rPr>
        <w:t>不断推进法治信访建设</w:t>
      </w:r>
      <w:r>
        <w:rPr>
          <w:rFonts w:hint="eastAsia" w:ascii="仿宋_GB2312" w:eastAsia="仿宋_GB2312"/>
          <w:sz w:val="32"/>
          <w:szCs w:val="32"/>
        </w:rPr>
        <w:t>。巩固深化“不忘初心、牢记使命”主题教育成果。坚决落实中央、</w:t>
      </w:r>
      <w:r>
        <w:rPr>
          <w:rFonts w:ascii="仿宋_GB2312" w:eastAsia="仿宋_GB2312"/>
          <w:sz w:val="32"/>
          <w:szCs w:val="32"/>
        </w:rPr>
        <w:t>市委</w:t>
      </w:r>
      <w:r>
        <w:rPr>
          <w:rFonts w:hint="eastAsia" w:ascii="仿宋_GB2312" w:eastAsia="仿宋_GB2312"/>
          <w:sz w:val="32"/>
          <w:szCs w:val="32"/>
        </w:rPr>
        <w:t>部署，严格执行</w:t>
      </w:r>
      <w:r>
        <w:rPr>
          <w:rFonts w:ascii="仿宋_GB2312" w:eastAsia="仿宋_GB2312"/>
          <w:sz w:val="32"/>
          <w:szCs w:val="32"/>
        </w:rPr>
        <w:t>疫情防控相关法律、法规和政策，</w:t>
      </w:r>
      <w:r>
        <w:rPr>
          <w:rFonts w:hint="eastAsia" w:ascii="仿宋_GB2312" w:eastAsia="仿宋_GB2312"/>
          <w:sz w:val="32"/>
          <w:szCs w:val="32"/>
        </w:rPr>
        <w:t>严格依法</w:t>
      </w:r>
      <w:r>
        <w:rPr>
          <w:rFonts w:ascii="仿宋_GB2312" w:eastAsia="仿宋_GB2312"/>
          <w:sz w:val="32"/>
          <w:szCs w:val="32"/>
        </w:rPr>
        <w:t>实施防控措施</w:t>
      </w:r>
      <w:r>
        <w:rPr>
          <w:rFonts w:hint="eastAsia" w:ascii="仿宋_GB2312" w:eastAsia="仿宋_GB2312"/>
          <w:sz w:val="32"/>
          <w:szCs w:val="32"/>
        </w:rPr>
        <w:t>。</w:t>
      </w:r>
    </w:p>
    <w:p w14:paraId="58714F8E">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（二）坚持畅通信访诉求表达</w:t>
      </w:r>
      <w:r>
        <w:rPr>
          <w:rFonts w:ascii="楷体_GB2312" w:eastAsia="楷体_GB2312"/>
          <w:sz w:val="32"/>
          <w:szCs w:val="32"/>
        </w:rPr>
        <w:t>和工作渠道</w:t>
      </w:r>
      <w:r>
        <w:rPr>
          <w:rFonts w:hint="eastAsia" w:ascii="楷体_GB2312" w:eastAsia="楷体_GB2312"/>
          <w:sz w:val="32"/>
          <w:szCs w:val="32"/>
        </w:rPr>
        <w:t>，推动信访</w:t>
      </w:r>
      <w:r>
        <w:rPr>
          <w:rFonts w:ascii="楷体_GB2312" w:eastAsia="楷体_GB2312"/>
          <w:sz w:val="32"/>
          <w:szCs w:val="32"/>
        </w:rPr>
        <w:t>问题及时精准有效解决</w:t>
      </w:r>
    </w:p>
    <w:p w14:paraId="6C2DA6E4">
      <w:pPr>
        <w:spacing w:line="560" w:lineRule="exact"/>
        <w:ind w:firstLine="640" w:firstLineChars="200"/>
        <w:rPr>
          <w:rFonts w:ascii="仿宋_GB2312" w:eastAsia="仿宋_GB2312"/>
          <w:sz w:val="32"/>
          <w:szCs w:val="32"/>
        </w:rPr>
      </w:pPr>
      <w:r>
        <w:rPr>
          <w:rFonts w:hint="eastAsia" w:ascii="仿宋_GB2312" w:eastAsia="仿宋_GB2312"/>
          <w:sz w:val="32"/>
          <w:szCs w:val="32"/>
        </w:rPr>
        <w:t>深化</w:t>
      </w:r>
      <w:r>
        <w:rPr>
          <w:rFonts w:ascii="仿宋_GB2312" w:eastAsia="仿宋_GB2312"/>
          <w:sz w:val="32"/>
          <w:szCs w:val="32"/>
        </w:rPr>
        <w:t>基础业务规范化建设。</w:t>
      </w:r>
      <w:r>
        <w:rPr>
          <w:rFonts w:hint="eastAsia" w:ascii="仿宋_GB2312" w:eastAsia="仿宋_GB2312"/>
          <w:sz w:val="32"/>
          <w:szCs w:val="32"/>
        </w:rPr>
        <w:t>继续推进</w:t>
      </w:r>
      <w:r>
        <w:rPr>
          <w:rFonts w:hint="eastAsia" w:hAnsi="Book Antiqua" w:eastAsia="仿宋_GB2312"/>
          <w:sz w:val="32"/>
          <w:szCs w:val="32"/>
        </w:rPr>
        <w:t>诉访</w:t>
      </w:r>
      <w:r>
        <w:rPr>
          <w:rFonts w:hAnsi="Book Antiqua" w:eastAsia="仿宋_GB2312"/>
          <w:sz w:val="32"/>
          <w:szCs w:val="32"/>
        </w:rPr>
        <w:t>分离</w:t>
      </w:r>
      <w:r>
        <w:rPr>
          <w:rFonts w:hint="eastAsia" w:hAnsi="Book Antiqua" w:eastAsia="仿宋_GB2312"/>
          <w:sz w:val="32"/>
          <w:szCs w:val="32"/>
        </w:rPr>
        <w:t>，</w:t>
      </w:r>
      <w:r>
        <w:rPr>
          <w:rFonts w:hAnsi="Book Antiqua" w:eastAsia="仿宋_GB2312"/>
          <w:sz w:val="32"/>
          <w:szCs w:val="32"/>
        </w:rPr>
        <w:t>加强信访诉求依法分类处理</w:t>
      </w:r>
      <w:r>
        <w:rPr>
          <w:rFonts w:hint="eastAsia" w:hAnsi="Book Antiqua" w:eastAsia="仿宋_GB2312"/>
          <w:sz w:val="32"/>
          <w:szCs w:val="32"/>
        </w:rPr>
        <w:t>，严格</w:t>
      </w:r>
      <w:r>
        <w:rPr>
          <w:rFonts w:hAnsi="Book Antiqua" w:eastAsia="仿宋_GB2312"/>
          <w:sz w:val="32"/>
          <w:szCs w:val="32"/>
        </w:rPr>
        <w:t>信访诉求受理办理流程。</w:t>
      </w:r>
      <w:r>
        <w:rPr>
          <w:rFonts w:hint="eastAsia" w:hAnsi="Book Antiqua" w:eastAsia="仿宋_GB2312"/>
          <w:sz w:val="32"/>
          <w:szCs w:val="32"/>
        </w:rPr>
        <w:t>持续加大</w:t>
      </w:r>
      <w:r>
        <w:rPr>
          <w:rFonts w:hAnsi="Book Antiqua" w:eastAsia="仿宋_GB2312"/>
          <w:sz w:val="32"/>
          <w:szCs w:val="32"/>
        </w:rPr>
        <w:t>网上信访工作力度。</w:t>
      </w:r>
      <w:r>
        <w:rPr>
          <w:rFonts w:hint="eastAsia" w:hAnsi="Book Antiqua" w:eastAsia="仿宋_GB2312"/>
          <w:sz w:val="32"/>
          <w:szCs w:val="32"/>
        </w:rPr>
        <w:t>健全</w:t>
      </w:r>
      <w:r>
        <w:rPr>
          <w:rFonts w:hAnsi="Book Antiqua" w:eastAsia="仿宋_GB2312"/>
          <w:sz w:val="32"/>
          <w:szCs w:val="32"/>
        </w:rPr>
        <w:t>完善市、区、街（</w:t>
      </w:r>
      <w:r>
        <w:rPr>
          <w:rFonts w:hint="eastAsia" w:hAnsi="Book Antiqua" w:eastAsia="仿宋_GB2312"/>
          <w:sz w:val="32"/>
          <w:szCs w:val="32"/>
        </w:rPr>
        <w:t>乡</w:t>
      </w:r>
      <w:r>
        <w:rPr>
          <w:rFonts w:hAnsi="Book Antiqua" w:eastAsia="仿宋_GB2312"/>
          <w:sz w:val="32"/>
          <w:szCs w:val="32"/>
        </w:rPr>
        <w:t>）</w:t>
      </w:r>
      <w:r>
        <w:rPr>
          <w:rFonts w:hint="eastAsia" w:hAnsi="Book Antiqua" w:eastAsia="仿宋_GB2312"/>
          <w:sz w:val="32"/>
          <w:szCs w:val="32"/>
        </w:rPr>
        <w:t>三级</w:t>
      </w:r>
      <w:r>
        <w:rPr>
          <w:rFonts w:hAnsi="Book Antiqua" w:eastAsia="仿宋_GB2312"/>
          <w:sz w:val="32"/>
          <w:szCs w:val="32"/>
        </w:rPr>
        <w:t>网上信访渠道，通过全流程提质增效，提升网上信访公信力，走好网上群众路线，推动形成为民便民利民的全方位网上信访新格局。</w:t>
      </w:r>
    </w:p>
    <w:p w14:paraId="26AD0872">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w:t>
      </w:r>
      <w:r>
        <w:rPr>
          <w:rFonts w:hint="eastAsia" w:ascii="楷体" w:hAnsi="楷体" w:eastAsia="楷体"/>
          <w:sz w:val="32"/>
          <w:szCs w:val="32"/>
        </w:rPr>
        <w:t>完善常态化矛盾纠纷排查化解制度</w:t>
      </w:r>
      <w:r>
        <w:rPr>
          <w:rFonts w:hint="eastAsia" w:ascii="楷体_GB2312" w:eastAsia="楷体_GB2312"/>
          <w:sz w:val="32"/>
          <w:szCs w:val="32"/>
        </w:rPr>
        <w:t>，</w:t>
      </w:r>
      <w:r>
        <w:rPr>
          <w:rFonts w:ascii="楷体_GB2312" w:eastAsia="楷体_GB2312"/>
          <w:sz w:val="32"/>
          <w:szCs w:val="32"/>
        </w:rPr>
        <w:t>增强预防化解信访问题的实效</w:t>
      </w:r>
    </w:p>
    <w:p w14:paraId="027D2639">
      <w:pPr>
        <w:spacing w:line="560" w:lineRule="exact"/>
        <w:ind w:firstLine="640" w:firstLineChars="200"/>
        <w:rPr>
          <w:rFonts w:hAnsi="Book Antiqua" w:eastAsia="仿宋_GB2312"/>
          <w:sz w:val="32"/>
          <w:szCs w:val="32"/>
        </w:rPr>
      </w:pPr>
      <w:r>
        <w:rPr>
          <w:rFonts w:hint="eastAsia" w:ascii="仿宋_GB2312" w:eastAsia="仿宋_GB2312"/>
          <w:sz w:val="32"/>
          <w:szCs w:val="32"/>
        </w:rPr>
        <w:t>开展矛盾纠纷大排查大化解，坚持动态排查不间断，努力把矛盾隐患化解在萌芽状态。不断加强人民建议征集工作。</w:t>
      </w:r>
      <w:r>
        <w:rPr>
          <w:rFonts w:ascii="仿宋_GB2312" w:eastAsia="仿宋_GB2312"/>
          <w:sz w:val="32"/>
          <w:szCs w:val="32"/>
        </w:rPr>
        <w:t>深化</w:t>
      </w:r>
      <w:r>
        <w:rPr>
          <w:rFonts w:hint="eastAsia" w:ascii="仿宋_GB2312" w:eastAsia="仿宋_GB2312"/>
          <w:sz w:val="32"/>
          <w:szCs w:val="32"/>
        </w:rPr>
        <w:t>市</w:t>
      </w:r>
      <w:r>
        <w:rPr>
          <w:rFonts w:ascii="仿宋_GB2312" w:eastAsia="仿宋_GB2312"/>
          <w:sz w:val="32"/>
          <w:szCs w:val="32"/>
        </w:rPr>
        <w:t>、区、街道（</w:t>
      </w:r>
      <w:r>
        <w:rPr>
          <w:rFonts w:hint="eastAsia" w:ascii="仿宋_GB2312" w:eastAsia="仿宋_GB2312"/>
          <w:sz w:val="32"/>
          <w:szCs w:val="32"/>
        </w:rPr>
        <w:t>乡镇</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社区（</w:t>
      </w:r>
      <w:r>
        <w:rPr>
          <w:rFonts w:hint="eastAsia" w:ascii="仿宋_GB2312" w:eastAsia="仿宋_GB2312"/>
          <w:sz w:val="32"/>
          <w:szCs w:val="32"/>
        </w:rPr>
        <w:t>村</w:t>
      </w:r>
      <w:r>
        <w:rPr>
          <w:rFonts w:ascii="仿宋_GB2312" w:eastAsia="仿宋_GB2312"/>
          <w:sz w:val="32"/>
          <w:szCs w:val="32"/>
        </w:rPr>
        <w:t>）</w:t>
      </w:r>
      <w:r>
        <w:rPr>
          <w:rFonts w:hint="eastAsia" w:ascii="仿宋_GB2312" w:eastAsia="仿宋_GB2312"/>
          <w:sz w:val="32"/>
          <w:szCs w:val="32"/>
        </w:rPr>
        <w:t>人民</w:t>
      </w:r>
      <w:r>
        <w:rPr>
          <w:rFonts w:ascii="仿宋_GB2312" w:eastAsia="仿宋_GB2312"/>
          <w:sz w:val="32"/>
          <w:szCs w:val="32"/>
        </w:rPr>
        <w:t>建议征集工作体系建设，</w:t>
      </w:r>
      <w:r>
        <w:rPr>
          <w:rFonts w:hint="eastAsia" w:ascii="仿宋_GB2312" w:eastAsia="仿宋_GB2312"/>
          <w:sz w:val="32"/>
          <w:szCs w:val="32"/>
        </w:rPr>
        <w:t>提高建议</w:t>
      </w:r>
      <w:r>
        <w:rPr>
          <w:rFonts w:ascii="仿宋_GB2312" w:eastAsia="仿宋_GB2312"/>
          <w:sz w:val="32"/>
          <w:szCs w:val="32"/>
        </w:rPr>
        <w:t>质量效益，促进成果转化落地，推动人民建议征集</w:t>
      </w:r>
      <w:r>
        <w:rPr>
          <w:rFonts w:hint="eastAsia" w:ascii="仿宋_GB2312" w:eastAsia="仿宋_GB2312"/>
          <w:sz w:val="32"/>
          <w:szCs w:val="32"/>
        </w:rPr>
        <w:t>工作在</w:t>
      </w:r>
      <w:r>
        <w:rPr>
          <w:rFonts w:ascii="仿宋_GB2312" w:eastAsia="仿宋_GB2312"/>
          <w:sz w:val="32"/>
          <w:szCs w:val="32"/>
        </w:rPr>
        <w:t>服务首都发展中发挥更大作用。</w:t>
      </w:r>
    </w:p>
    <w:p w14:paraId="61C09FDB">
      <w:pPr>
        <w:spacing w:line="600" w:lineRule="exact"/>
        <w:ind w:firstLine="629"/>
        <w:outlineLvl w:val="1"/>
        <w:rPr>
          <w:rFonts w:ascii="楷体" w:hAnsi="楷体" w:eastAsia="楷体" w:cs="楷体"/>
          <w:color w:val="000000"/>
          <w:kern w:val="0"/>
          <w:sz w:val="32"/>
          <w:szCs w:val="32"/>
        </w:rPr>
      </w:pPr>
      <w:r>
        <w:rPr>
          <w:rFonts w:hint="eastAsia" w:ascii="楷体_GB2312" w:eastAsia="楷体_GB2312"/>
          <w:sz w:val="32"/>
          <w:szCs w:val="32"/>
        </w:rPr>
        <w:t>（四）</w:t>
      </w:r>
      <w:r>
        <w:rPr>
          <w:rFonts w:hint="eastAsia" w:ascii="楷体" w:hAnsi="楷体" w:eastAsia="楷体" w:cs="楷体"/>
          <w:color w:val="000000"/>
          <w:kern w:val="0"/>
          <w:sz w:val="32"/>
          <w:szCs w:val="32"/>
        </w:rPr>
        <w:t>夯实信访</w:t>
      </w:r>
      <w:r>
        <w:rPr>
          <w:rFonts w:ascii="楷体" w:hAnsi="楷体" w:eastAsia="楷体" w:cs="楷体"/>
          <w:color w:val="000000"/>
          <w:kern w:val="0"/>
          <w:sz w:val="32"/>
          <w:szCs w:val="32"/>
        </w:rPr>
        <w:t>工作基层基础，进一步推动关口前移、重心下沉</w:t>
      </w:r>
    </w:p>
    <w:p w14:paraId="79FDFFB0">
      <w:pPr>
        <w:spacing w:line="600" w:lineRule="exact"/>
        <w:ind w:firstLine="630"/>
        <w:rPr>
          <w:rFonts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进一步落实依法逐级走访要求，层层压实责任，严格教育疏导要求。以《信访条例》修订15周年为契机，加强信访宣传和舆论引导，树立依法信访、网上信访、文明信访导向。进一步</w:t>
      </w:r>
      <w:r>
        <w:rPr>
          <w:rFonts w:ascii="仿宋_GB2312" w:hAnsi="楷体" w:eastAsia="仿宋_GB2312" w:cs="楷体"/>
          <w:color w:val="000000"/>
          <w:kern w:val="0"/>
          <w:sz w:val="32"/>
          <w:szCs w:val="32"/>
        </w:rPr>
        <w:t>拓展社会力量参与信访工作制度化渠道，加强</w:t>
      </w:r>
      <w:r>
        <w:rPr>
          <w:rFonts w:hint="eastAsia" w:ascii="仿宋_GB2312" w:hAnsi="楷体" w:eastAsia="仿宋_GB2312" w:cs="楷体"/>
          <w:color w:val="000000"/>
          <w:kern w:val="0"/>
          <w:sz w:val="32"/>
          <w:szCs w:val="32"/>
        </w:rPr>
        <w:t>律师参与</w:t>
      </w:r>
      <w:r>
        <w:rPr>
          <w:rFonts w:ascii="仿宋_GB2312" w:hAnsi="楷体" w:eastAsia="仿宋_GB2312" w:cs="楷体"/>
          <w:color w:val="000000"/>
          <w:kern w:val="0"/>
          <w:sz w:val="32"/>
          <w:szCs w:val="32"/>
        </w:rPr>
        <w:t>信访</w:t>
      </w:r>
      <w:r>
        <w:rPr>
          <w:rFonts w:hint="eastAsia" w:ascii="仿宋_GB2312" w:hAnsi="楷体" w:eastAsia="仿宋_GB2312" w:cs="楷体"/>
          <w:color w:val="000000"/>
          <w:kern w:val="0"/>
          <w:sz w:val="32"/>
          <w:szCs w:val="32"/>
        </w:rPr>
        <w:t>工作</w:t>
      </w:r>
      <w:r>
        <w:rPr>
          <w:rFonts w:ascii="仿宋_GB2312" w:hAnsi="楷体" w:eastAsia="仿宋_GB2312" w:cs="楷体"/>
          <w:color w:val="000000"/>
          <w:kern w:val="0"/>
          <w:sz w:val="32"/>
          <w:szCs w:val="32"/>
        </w:rPr>
        <w:t>，</w:t>
      </w:r>
      <w:r>
        <w:rPr>
          <w:rFonts w:hint="eastAsia" w:ascii="仿宋_GB2312" w:hAnsi="楷体" w:eastAsia="仿宋_GB2312" w:cs="楷体"/>
          <w:color w:val="000000"/>
          <w:kern w:val="0"/>
          <w:sz w:val="32"/>
          <w:szCs w:val="32"/>
        </w:rPr>
        <w:t>鼓励</w:t>
      </w:r>
      <w:r>
        <w:rPr>
          <w:rFonts w:ascii="仿宋_GB2312" w:hAnsi="楷体" w:eastAsia="仿宋_GB2312" w:cs="楷体"/>
          <w:color w:val="000000"/>
          <w:kern w:val="0"/>
          <w:sz w:val="32"/>
          <w:szCs w:val="32"/>
        </w:rPr>
        <w:t>基层创新方式方法</w:t>
      </w:r>
      <w:r>
        <w:rPr>
          <w:rFonts w:hint="eastAsia" w:ascii="仿宋_GB2312" w:hAnsi="楷体" w:eastAsia="仿宋_GB2312" w:cs="楷体"/>
          <w:color w:val="000000"/>
          <w:kern w:val="0"/>
          <w:sz w:val="32"/>
          <w:szCs w:val="32"/>
        </w:rPr>
        <w:t>，</w:t>
      </w:r>
      <w:r>
        <w:rPr>
          <w:rFonts w:ascii="仿宋_GB2312" w:hAnsi="楷体" w:eastAsia="仿宋_GB2312" w:cs="楷体"/>
          <w:color w:val="000000"/>
          <w:kern w:val="0"/>
          <w:sz w:val="32"/>
          <w:szCs w:val="32"/>
        </w:rPr>
        <w:t>做细做实群众工作。</w:t>
      </w:r>
    </w:p>
    <w:p w14:paraId="68627999">
      <w:pPr>
        <w:spacing w:line="600" w:lineRule="exact"/>
        <w:ind w:firstLine="629"/>
        <w:outlineLvl w:val="1"/>
        <w:rPr>
          <w:rFonts w:ascii="楷体" w:hAnsi="楷体" w:eastAsia="楷体" w:cs="楷体"/>
          <w:spacing w:val="-12"/>
          <w:kern w:val="0"/>
          <w:sz w:val="32"/>
          <w:szCs w:val="32"/>
        </w:rPr>
      </w:pPr>
      <w:r>
        <w:rPr>
          <w:rFonts w:hint="eastAsia" w:ascii="楷体" w:hAnsi="楷体" w:eastAsia="楷体" w:cs="楷体"/>
          <w:spacing w:val="-12"/>
          <w:kern w:val="0"/>
          <w:sz w:val="32"/>
          <w:szCs w:val="32"/>
        </w:rPr>
        <w:t>（五）持续</w:t>
      </w:r>
      <w:r>
        <w:rPr>
          <w:rFonts w:ascii="楷体" w:hAnsi="楷体" w:eastAsia="楷体" w:cs="楷体"/>
          <w:spacing w:val="-12"/>
          <w:kern w:val="0"/>
          <w:sz w:val="32"/>
          <w:szCs w:val="32"/>
        </w:rPr>
        <w:t>加强信访部门自身建设，提升</w:t>
      </w:r>
      <w:r>
        <w:rPr>
          <w:rFonts w:hint="eastAsia" w:ascii="楷体" w:hAnsi="楷体" w:eastAsia="楷体" w:cs="楷体"/>
          <w:spacing w:val="-12"/>
          <w:kern w:val="0"/>
          <w:sz w:val="32"/>
          <w:szCs w:val="32"/>
        </w:rPr>
        <w:t>依法</w:t>
      </w:r>
      <w:r>
        <w:rPr>
          <w:rFonts w:ascii="楷体" w:hAnsi="楷体" w:eastAsia="楷体" w:cs="楷体"/>
          <w:spacing w:val="-12"/>
          <w:kern w:val="0"/>
          <w:sz w:val="32"/>
          <w:szCs w:val="32"/>
        </w:rPr>
        <w:t>履职能力水平</w:t>
      </w:r>
    </w:p>
    <w:p w14:paraId="0096D9F9">
      <w:pPr>
        <w:spacing w:line="600" w:lineRule="exact"/>
        <w:ind w:firstLine="630"/>
        <w:rPr>
          <w:rFonts w:ascii="仿宋_GB2312" w:hAnsi="楷体" w:eastAsia="仿宋_GB2312" w:cs="楷体"/>
          <w:color w:val="000000"/>
          <w:kern w:val="0"/>
          <w:sz w:val="32"/>
          <w:szCs w:val="32"/>
        </w:rPr>
      </w:pPr>
      <w:r>
        <w:rPr>
          <w:rFonts w:hint="eastAsia" w:ascii="仿宋_GB2312" w:hAnsi="楷体" w:eastAsia="仿宋_GB2312" w:cs="楷体"/>
          <w:kern w:val="0"/>
          <w:sz w:val="32"/>
          <w:szCs w:val="32"/>
        </w:rPr>
        <w:t>深入</w:t>
      </w:r>
      <w:r>
        <w:rPr>
          <w:rFonts w:ascii="仿宋_GB2312" w:hAnsi="楷体" w:eastAsia="仿宋_GB2312" w:cs="楷体"/>
          <w:kern w:val="0"/>
          <w:sz w:val="32"/>
          <w:szCs w:val="32"/>
        </w:rPr>
        <w:t>学习习近平总书记全面依法治国新理念新思想新战略，切实把思想和行动统一到党中央各项决策部署上来。</w:t>
      </w:r>
      <w:r>
        <w:rPr>
          <w:rFonts w:hint="eastAsia" w:ascii="仿宋_GB2312" w:hAnsi="楷体" w:eastAsia="仿宋_GB2312" w:cs="楷体"/>
          <w:color w:val="000000"/>
          <w:kern w:val="0"/>
          <w:sz w:val="32"/>
          <w:szCs w:val="32"/>
        </w:rPr>
        <w:t>继续坚持领导干部会前学法，</w:t>
      </w:r>
      <w:r>
        <w:rPr>
          <w:rFonts w:ascii="仿宋_GB2312" w:hAnsi="楷体" w:eastAsia="仿宋_GB2312" w:cs="楷体"/>
          <w:color w:val="000000"/>
          <w:kern w:val="0"/>
          <w:sz w:val="32"/>
          <w:szCs w:val="32"/>
        </w:rPr>
        <w:t>分层分类组织开展信访业务培训</w:t>
      </w:r>
      <w:r>
        <w:rPr>
          <w:rFonts w:hint="eastAsia" w:ascii="仿宋_GB2312" w:hAnsi="楷体" w:eastAsia="仿宋_GB2312" w:cs="楷体"/>
          <w:color w:val="000000"/>
          <w:kern w:val="0"/>
          <w:sz w:val="32"/>
          <w:szCs w:val="32"/>
        </w:rPr>
        <w:t>及</w:t>
      </w:r>
      <w:r>
        <w:rPr>
          <w:rFonts w:ascii="仿宋_GB2312" w:hAnsi="楷体" w:eastAsia="仿宋_GB2312" w:cs="楷体"/>
          <w:color w:val="000000"/>
          <w:kern w:val="0"/>
          <w:sz w:val="32"/>
          <w:szCs w:val="32"/>
        </w:rPr>
        <w:t>依法行政培训</w:t>
      </w:r>
      <w:r>
        <w:rPr>
          <w:rFonts w:hint="eastAsia" w:ascii="仿宋_GB2312" w:hAnsi="楷体" w:eastAsia="仿宋_GB2312" w:cs="楷体"/>
          <w:color w:val="000000"/>
          <w:kern w:val="0"/>
          <w:sz w:val="32"/>
          <w:szCs w:val="32"/>
        </w:rPr>
        <w:t>。继续发挥公职律师队伍在依法行政方面的作用，组织公职律师参与文件审查、信息公开、行政复议及诉讼、信访复查复核等业务工作，打造一支作风过硬、专业扎实的信访</w:t>
      </w:r>
      <w:r>
        <w:rPr>
          <w:rFonts w:ascii="仿宋_GB2312" w:hAnsi="楷体" w:eastAsia="仿宋_GB2312" w:cs="楷体"/>
          <w:color w:val="000000"/>
          <w:kern w:val="0"/>
          <w:sz w:val="32"/>
          <w:szCs w:val="32"/>
        </w:rPr>
        <w:t>干部</w:t>
      </w:r>
      <w:r>
        <w:rPr>
          <w:rFonts w:hint="eastAsia" w:ascii="仿宋_GB2312" w:hAnsi="楷体" w:eastAsia="仿宋_GB2312" w:cs="楷体"/>
          <w:color w:val="000000"/>
          <w:kern w:val="0"/>
          <w:sz w:val="32"/>
          <w:szCs w:val="32"/>
        </w:rPr>
        <w:t>队伍。</w:t>
      </w:r>
    </w:p>
    <w:p w14:paraId="590F5992">
      <w:pPr>
        <w:spacing w:line="600" w:lineRule="exact"/>
        <w:rPr>
          <w:rFonts w:ascii="仿宋_GB2312" w:hAnsi="楷体" w:eastAsia="仿宋_GB2312" w:cs="楷体"/>
          <w:color w:val="000000"/>
          <w:kern w:val="0"/>
          <w:sz w:val="32"/>
          <w:szCs w:val="32"/>
        </w:rPr>
      </w:pPr>
    </w:p>
    <w:p w14:paraId="134B2B38">
      <w:pPr>
        <w:ind w:firstLine="5584" w:firstLineChars="1745"/>
        <w:rPr>
          <w:rFonts w:ascii="仿宋_GB2312" w:hAnsi="仿宋_GB2312" w:eastAsia="仿宋_GB2312" w:cs="Times New Roman"/>
          <w:sz w:val="32"/>
          <w:szCs w:val="32"/>
        </w:rPr>
      </w:pPr>
      <w:r>
        <w:rPr>
          <w:rFonts w:hint="eastAsia" w:ascii="仿宋_GB2312" w:hAnsi="仿宋_GB2312" w:eastAsia="仿宋_GB2312" w:cs="仿宋_GB2312"/>
          <w:sz w:val="32"/>
          <w:szCs w:val="32"/>
        </w:rPr>
        <w:t>北京市信访办</w:t>
      </w:r>
    </w:p>
    <w:p w14:paraId="0F0D0991">
      <w:pPr>
        <w:ind w:firstLine="5440" w:firstLineChars="1700"/>
        <w:rPr>
          <w:rFonts w:ascii="仿宋_GB2312" w:hAnsi="仿宋_GB2312" w:eastAsia="仿宋_GB2312" w:cs="Times New Roman"/>
          <w:color w:val="000000"/>
          <w:spacing w:val="10"/>
          <w:kern w:val="0"/>
          <w:sz w:val="32"/>
          <w:szCs w:val="32"/>
        </w:rPr>
      </w:pPr>
      <w:r>
        <w:rPr>
          <w:rFonts w:ascii="仿宋_GB2312" w:hAnsi="仿宋_GB2312" w:eastAsia="仿宋_GB2312" w:cs="仿宋_GB2312"/>
          <w:sz w:val="32"/>
          <w:szCs w:val="32"/>
        </w:rPr>
        <w:t>2020年3月24日</w:t>
      </w:r>
    </w:p>
    <w:p w14:paraId="3094AE32">
      <w:pPr>
        <w:ind w:firstLine="640" w:firstLineChars="200"/>
        <w:outlineLvl w:val="0"/>
        <w:rPr>
          <w:rFonts w:ascii="黑体" w:hAnsi="黑体" w:eastAsia="黑体"/>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Yuppy SC Regular">
    <w:altName w:val="ksdb"/>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Book Antiqua">
    <w:altName w:val="Segoe Print"/>
    <w:panose1 w:val="02040602050305030304"/>
    <w:charset w:val="00"/>
    <w:family w:val="roman"/>
    <w:pitch w:val="default"/>
    <w:sig w:usb0="00000000" w:usb1="00000000" w:usb2="00000000" w:usb3="00000000" w:csb0="0000009F" w:csb1="00000000"/>
  </w:font>
  <w:font w:name="ksdb">
    <w:panose1 w:val="02000500000000000000"/>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4E7B">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p w14:paraId="7E57DBEC">
    <w:pPr>
      <w:pStyle w:val="4"/>
      <w:jc w:val="center"/>
      <w:rPr>
        <w:rFonts w:cs="Times New Roman"/>
      </w:rPr>
    </w:pPr>
  </w:p>
  <w:p w14:paraId="6C511FFF">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5F"/>
    <w:rsid w:val="00001FD0"/>
    <w:rsid w:val="00004BBA"/>
    <w:rsid w:val="0001008F"/>
    <w:rsid w:val="00015196"/>
    <w:rsid w:val="00016548"/>
    <w:rsid w:val="0003422F"/>
    <w:rsid w:val="000354DC"/>
    <w:rsid w:val="00037008"/>
    <w:rsid w:val="00041E5E"/>
    <w:rsid w:val="000446C2"/>
    <w:rsid w:val="00046E3C"/>
    <w:rsid w:val="00063D4D"/>
    <w:rsid w:val="0006670A"/>
    <w:rsid w:val="00066B7B"/>
    <w:rsid w:val="0007077D"/>
    <w:rsid w:val="0007263B"/>
    <w:rsid w:val="00073D26"/>
    <w:rsid w:val="0007547A"/>
    <w:rsid w:val="000767F7"/>
    <w:rsid w:val="00083DF3"/>
    <w:rsid w:val="000865F6"/>
    <w:rsid w:val="00086880"/>
    <w:rsid w:val="00086BC0"/>
    <w:rsid w:val="00094335"/>
    <w:rsid w:val="00095FB7"/>
    <w:rsid w:val="000A3D8D"/>
    <w:rsid w:val="000B389C"/>
    <w:rsid w:val="000B4EA9"/>
    <w:rsid w:val="000C25E0"/>
    <w:rsid w:val="000C623C"/>
    <w:rsid w:val="000C7C00"/>
    <w:rsid w:val="000D1C97"/>
    <w:rsid w:val="000D32CD"/>
    <w:rsid w:val="000E3BA2"/>
    <w:rsid w:val="000E6093"/>
    <w:rsid w:val="000F103C"/>
    <w:rsid w:val="00100203"/>
    <w:rsid w:val="00105C88"/>
    <w:rsid w:val="0010619B"/>
    <w:rsid w:val="001064C7"/>
    <w:rsid w:val="00107383"/>
    <w:rsid w:val="00120F24"/>
    <w:rsid w:val="00130C1F"/>
    <w:rsid w:val="00133240"/>
    <w:rsid w:val="001416E4"/>
    <w:rsid w:val="001479BE"/>
    <w:rsid w:val="00153B3C"/>
    <w:rsid w:val="00154ADC"/>
    <w:rsid w:val="0015622A"/>
    <w:rsid w:val="00161D47"/>
    <w:rsid w:val="00166E1A"/>
    <w:rsid w:val="001757A8"/>
    <w:rsid w:val="00175DDA"/>
    <w:rsid w:val="001771C2"/>
    <w:rsid w:val="00182976"/>
    <w:rsid w:val="00183EC6"/>
    <w:rsid w:val="0018634E"/>
    <w:rsid w:val="001900A8"/>
    <w:rsid w:val="001A236A"/>
    <w:rsid w:val="001A3443"/>
    <w:rsid w:val="001B5D58"/>
    <w:rsid w:val="001C5842"/>
    <w:rsid w:val="001D0FCF"/>
    <w:rsid w:val="001D28DE"/>
    <w:rsid w:val="001D5474"/>
    <w:rsid w:val="001D6EEC"/>
    <w:rsid w:val="001E0642"/>
    <w:rsid w:val="001E1FAB"/>
    <w:rsid w:val="00205CFD"/>
    <w:rsid w:val="00210EAD"/>
    <w:rsid w:val="00212446"/>
    <w:rsid w:val="00213854"/>
    <w:rsid w:val="00214F03"/>
    <w:rsid w:val="00220875"/>
    <w:rsid w:val="00247AB8"/>
    <w:rsid w:val="0025582A"/>
    <w:rsid w:val="00256877"/>
    <w:rsid w:val="00260123"/>
    <w:rsid w:val="002747B7"/>
    <w:rsid w:val="00276DBA"/>
    <w:rsid w:val="002A2FDE"/>
    <w:rsid w:val="002A7F4F"/>
    <w:rsid w:val="002B5B4D"/>
    <w:rsid w:val="002C04DC"/>
    <w:rsid w:val="002C28CC"/>
    <w:rsid w:val="002C3078"/>
    <w:rsid w:val="002C56BA"/>
    <w:rsid w:val="002C6E4D"/>
    <w:rsid w:val="002D2FA2"/>
    <w:rsid w:val="002E3F7E"/>
    <w:rsid w:val="002F2E5A"/>
    <w:rsid w:val="002F472B"/>
    <w:rsid w:val="0030135F"/>
    <w:rsid w:val="003032A5"/>
    <w:rsid w:val="00303754"/>
    <w:rsid w:val="003067E9"/>
    <w:rsid w:val="00313867"/>
    <w:rsid w:val="003145BF"/>
    <w:rsid w:val="00315F93"/>
    <w:rsid w:val="00321AAA"/>
    <w:rsid w:val="00322144"/>
    <w:rsid w:val="00330B71"/>
    <w:rsid w:val="003342D9"/>
    <w:rsid w:val="00335A92"/>
    <w:rsid w:val="0033751E"/>
    <w:rsid w:val="003419C1"/>
    <w:rsid w:val="0034276A"/>
    <w:rsid w:val="00352127"/>
    <w:rsid w:val="0036709D"/>
    <w:rsid w:val="003957E9"/>
    <w:rsid w:val="003B14A7"/>
    <w:rsid w:val="003B290D"/>
    <w:rsid w:val="003B596B"/>
    <w:rsid w:val="003C2C4A"/>
    <w:rsid w:val="003C486C"/>
    <w:rsid w:val="003D70EA"/>
    <w:rsid w:val="003E144E"/>
    <w:rsid w:val="003E2156"/>
    <w:rsid w:val="003E6AF1"/>
    <w:rsid w:val="003E6E2A"/>
    <w:rsid w:val="003E79F5"/>
    <w:rsid w:val="003F0A0D"/>
    <w:rsid w:val="003F241B"/>
    <w:rsid w:val="003F2DF3"/>
    <w:rsid w:val="003F51F7"/>
    <w:rsid w:val="00400B9A"/>
    <w:rsid w:val="00405AD6"/>
    <w:rsid w:val="00417100"/>
    <w:rsid w:val="0042432D"/>
    <w:rsid w:val="0042443B"/>
    <w:rsid w:val="00430C54"/>
    <w:rsid w:val="00434EBB"/>
    <w:rsid w:val="00435041"/>
    <w:rsid w:val="00440C4F"/>
    <w:rsid w:val="00441CDF"/>
    <w:rsid w:val="004439B7"/>
    <w:rsid w:val="00456B03"/>
    <w:rsid w:val="004601E8"/>
    <w:rsid w:val="0046661D"/>
    <w:rsid w:val="00466943"/>
    <w:rsid w:val="00467D7D"/>
    <w:rsid w:val="0047796C"/>
    <w:rsid w:val="00480973"/>
    <w:rsid w:val="0048281A"/>
    <w:rsid w:val="00482E38"/>
    <w:rsid w:val="00485429"/>
    <w:rsid w:val="00490777"/>
    <w:rsid w:val="004937B1"/>
    <w:rsid w:val="00496EDE"/>
    <w:rsid w:val="004A1CAA"/>
    <w:rsid w:val="004A1F8D"/>
    <w:rsid w:val="004A6146"/>
    <w:rsid w:val="004B096D"/>
    <w:rsid w:val="004B3D90"/>
    <w:rsid w:val="004D3B39"/>
    <w:rsid w:val="004D46FF"/>
    <w:rsid w:val="004D7C15"/>
    <w:rsid w:val="004E4CF5"/>
    <w:rsid w:val="004F345B"/>
    <w:rsid w:val="004F4AEC"/>
    <w:rsid w:val="00500DC1"/>
    <w:rsid w:val="00505B2E"/>
    <w:rsid w:val="00507F9E"/>
    <w:rsid w:val="00510C8D"/>
    <w:rsid w:val="00513B97"/>
    <w:rsid w:val="00536E50"/>
    <w:rsid w:val="0054235D"/>
    <w:rsid w:val="005429F7"/>
    <w:rsid w:val="0054340F"/>
    <w:rsid w:val="00547D56"/>
    <w:rsid w:val="005556C0"/>
    <w:rsid w:val="00556DFC"/>
    <w:rsid w:val="00557866"/>
    <w:rsid w:val="00560C89"/>
    <w:rsid w:val="0056298B"/>
    <w:rsid w:val="00563E18"/>
    <w:rsid w:val="00566582"/>
    <w:rsid w:val="005675DC"/>
    <w:rsid w:val="005747BE"/>
    <w:rsid w:val="00576388"/>
    <w:rsid w:val="005766B7"/>
    <w:rsid w:val="00580336"/>
    <w:rsid w:val="00586A42"/>
    <w:rsid w:val="00593029"/>
    <w:rsid w:val="005A04F7"/>
    <w:rsid w:val="005A3431"/>
    <w:rsid w:val="005B00E0"/>
    <w:rsid w:val="005B1C5F"/>
    <w:rsid w:val="005B27AF"/>
    <w:rsid w:val="005B3A23"/>
    <w:rsid w:val="005C5E69"/>
    <w:rsid w:val="005D033E"/>
    <w:rsid w:val="005E1AD4"/>
    <w:rsid w:val="005E31DC"/>
    <w:rsid w:val="005E437F"/>
    <w:rsid w:val="005E6CD7"/>
    <w:rsid w:val="005F21EF"/>
    <w:rsid w:val="005F7022"/>
    <w:rsid w:val="0062014F"/>
    <w:rsid w:val="00622F7B"/>
    <w:rsid w:val="00626873"/>
    <w:rsid w:val="006340C5"/>
    <w:rsid w:val="0065318E"/>
    <w:rsid w:val="00657745"/>
    <w:rsid w:val="00660808"/>
    <w:rsid w:val="006617E4"/>
    <w:rsid w:val="00683B4D"/>
    <w:rsid w:val="00694DDB"/>
    <w:rsid w:val="0069799A"/>
    <w:rsid w:val="006B1103"/>
    <w:rsid w:val="006B2AC3"/>
    <w:rsid w:val="006B3475"/>
    <w:rsid w:val="006B3CC7"/>
    <w:rsid w:val="006B3D23"/>
    <w:rsid w:val="006B5B5A"/>
    <w:rsid w:val="006C2E12"/>
    <w:rsid w:val="006C5F7D"/>
    <w:rsid w:val="006D53D3"/>
    <w:rsid w:val="006D5EAA"/>
    <w:rsid w:val="006E2A9D"/>
    <w:rsid w:val="006E2BBC"/>
    <w:rsid w:val="006E370B"/>
    <w:rsid w:val="006E4943"/>
    <w:rsid w:val="006E4A9B"/>
    <w:rsid w:val="006E6FEF"/>
    <w:rsid w:val="00701A56"/>
    <w:rsid w:val="00705AF0"/>
    <w:rsid w:val="00706983"/>
    <w:rsid w:val="00712548"/>
    <w:rsid w:val="007125E8"/>
    <w:rsid w:val="007142DC"/>
    <w:rsid w:val="00715421"/>
    <w:rsid w:val="0072676F"/>
    <w:rsid w:val="007341A4"/>
    <w:rsid w:val="007436AB"/>
    <w:rsid w:val="007502D2"/>
    <w:rsid w:val="007672BC"/>
    <w:rsid w:val="00771C41"/>
    <w:rsid w:val="0077554D"/>
    <w:rsid w:val="00783AE6"/>
    <w:rsid w:val="00796ECB"/>
    <w:rsid w:val="007A7592"/>
    <w:rsid w:val="007B6F0B"/>
    <w:rsid w:val="007C157D"/>
    <w:rsid w:val="007C3843"/>
    <w:rsid w:val="007D06F1"/>
    <w:rsid w:val="007D17C8"/>
    <w:rsid w:val="007D29C8"/>
    <w:rsid w:val="007D4EC1"/>
    <w:rsid w:val="007E076E"/>
    <w:rsid w:val="007E1DD1"/>
    <w:rsid w:val="007F1AC0"/>
    <w:rsid w:val="007F27FE"/>
    <w:rsid w:val="007F3836"/>
    <w:rsid w:val="007F690D"/>
    <w:rsid w:val="00806123"/>
    <w:rsid w:val="008072AB"/>
    <w:rsid w:val="00812D99"/>
    <w:rsid w:val="00814B7F"/>
    <w:rsid w:val="00820890"/>
    <w:rsid w:val="00822228"/>
    <w:rsid w:val="00827BE1"/>
    <w:rsid w:val="008418E5"/>
    <w:rsid w:val="00845004"/>
    <w:rsid w:val="0084599B"/>
    <w:rsid w:val="0085271A"/>
    <w:rsid w:val="00863233"/>
    <w:rsid w:val="008634E2"/>
    <w:rsid w:val="00877234"/>
    <w:rsid w:val="00880B6B"/>
    <w:rsid w:val="0088437F"/>
    <w:rsid w:val="00886B1E"/>
    <w:rsid w:val="0089196F"/>
    <w:rsid w:val="008956A5"/>
    <w:rsid w:val="0089630A"/>
    <w:rsid w:val="008A3BCD"/>
    <w:rsid w:val="008A5C35"/>
    <w:rsid w:val="008B2D2F"/>
    <w:rsid w:val="008C4E09"/>
    <w:rsid w:val="008C73F8"/>
    <w:rsid w:val="008D5693"/>
    <w:rsid w:val="008E4D9C"/>
    <w:rsid w:val="008F24AA"/>
    <w:rsid w:val="008F7692"/>
    <w:rsid w:val="00903D65"/>
    <w:rsid w:val="00904EDD"/>
    <w:rsid w:val="00912758"/>
    <w:rsid w:val="009135B7"/>
    <w:rsid w:val="0093233E"/>
    <w:rsid w:val="009358B8"/>
    <w:rsid w:val="009365A6"/>
    <w:rsid w:val="009406C7"/>
    <w:rsid w:val="00942BDE"/>
    <w:rsid w:val="00946463"/>
    <w:rsid w:val="00947965"/>
    <w:rsid w:val="00951299"/>
    <w:rsid w:val="009535AD"/>
    <w:rsid w:val="00954F62"/>
    <w:rsid w:val="009557AF"/>
    <w:rsid w:val="00962F49"/>
    <w:rsid w:val="009660F2"/>
    <w:rsid w:val="009667DA"/>
    <w:rsid w:val="00971746"/>
    <w:rsid w:val="0097736C"/>
    <w:rsid w:val="00987F9F"/>
    <w:rsid w:val="00990AD1"/>
    <w:rsid w:val="00991901"/>
    <w:rsid w:val="00991D1D"/>
    <w:rsid w:val="00993001"/>
    <w:rsid w:val="00995AC4"/>
    <w:rsid w:val="0099690B"/>
    <w:rsid w:val="00997EA7"/>
    <w:rsid w:val="009A1455"/>
    <w:rsid w:val="009A39BF"/>
    <w:rsid w:val="009B006F"/>
    <w:rsid w:val="009B0444"/>
    <w:rsid w:val="009B189F"/>
    <w:rsid w:val="009B368C"/>
    <w:rsid w:val="009B41BD"/>
    <w:rsid w:val="009B57D0"/>
    <w:rsid w:val="009B6196"/>
    <w:rsid w:val="009C49B2"/>
    <w:rsid w:val="009C70B9"/>
    <w:rsid w:val="009D3FD8"/>
    <w:rsid w:val="009E0166"/>
    <w:rsid w:val="009E6CFC"/>
    <w:rsid w:val="00A049B8"/>
    <w:rsid w:val="00A07F95"/>
    <w:rsid w:val="00A1217D"/>
    <w:rsid w:val="00A123A1"/>
    <w:rsid w:val="00A13D0F"/>
    <w:rsid w:val="00A15344"/>
    <w:rsid w:val="00A158C6"/>
    <w:rsid w:val="00A26BB0"/>
    <w:rsid w:val="00A33347"/>
    <w:rsid w:val="00A343CB"/>
    <w:rsid w:val="00A44D9C"/>
    <w:rsid w:val="00A4539C"/>
    <w:rsid w:val="00A55F60"/>
    <w:rsid w:val="00A60EA7"/>
    <w:rsid w:val="00A63500"/>
    <w:rsid w:val="00A64F07"/>
    <w:rsid w:val="00A748C6"/>
    <w:rsid w:val="00A80E72"/>
    <w:rsid w:val="00A93BD3"/>
    <w:rsid w:val="00A95655"/>
    <w:rsid w:val="00A976D2"/>
    <w:rsid w:val="00AA140A"/>
    <w:rsid w:val="00AA78EF"/>
    <w:rsid w:val="00AB5A5B"/>
    <w:rsid w:val="00AD65DD"/>
    <w:rsid w:val="00AD6C0C"/>
    <w:rsid w:val="00AD7156"/>
    <w:rsid w:val="00AF3170"/>
    <w:rsid w:val="00AF5F72"/>
    <w:rsid w:val="00AF7875"/>
    <w:rsid w:val="00B00030"/>
    <w:rsid w:val="00B005F1"/>
    <w:rsid w:val="00B00C35"/>
    <w:rsid w:val="00B11B27"/>
    <w:rsid w:val="00B1645A"/>
    <w:rsid w:val="00B231A3"/>
    <w:rsid w:val="00B23A08"/>
    <w:rsid w:val="00B25251"/>
    <w:rsid w:val="00B31D90"/>
    <w:rsid w:val="00B35F99"/>
    <w:rsid w:val="00B36981"/>
    <w:rsid w:val="00B4563C"/>
    <w:rsid w:val="00B524C1"/>
    <w:rsid w:val="00B60CB1"/>
    <w:rsid w:val="00B64FC0"/>
    <w:rsid w:val="00B66558"/>
    <w:rsid w:val="00B76874"/>
    <w:rsid w:val="00B80BFD"/>
    <w:rsid w:val="00B95A82"/>
    <w:rsid w:val="00B966BD"/>
    <w:rsid w:val="00BB1315"/>
    <w:rsid w:val="00BB2357"/>
    <w:rsid w:val="00BB49CF"/>
    <w:rsid w:val="00BB5D27"/>
    <w:rsid w:val="00BC068B"/>
    <w:rsid w:val="00BC3641"/>
    <w:rsid w:val="00BD5AD3"/>
    <w:rsid w:val="00BD75B9"/>
    <w:rsid w:val="00BE436A"/>
    <w:rsid w:val="00BF43A2"/>
    <w:rsid w:val="00C05486"/>
    <w:rsid w:val="00C07250"/>
    <w:rsid w:val="00C133F3"/>
    <w:rsid w:val="00C14333"/>
    <w:rsid w:val="00C169D6"/>
    <w:rsid w:val="00C17513"/>
    <w:rsid w:val="00C218C7"/>
    <w:rsid w:val="00C234D1"/>
    <w:rsid w:val="00C40E51"/>
    <w:rsid w:val="00C42FC4"/>
    <w:rsid w:val="00C47A88"/>
    <w:rsid w:val="00C51F15"/>
    <w:rsid w:val="00C564EA"/>
    <w:rsid w:val="00C56A88"/>
    <w:rsid w:val="00C57490"/>
    <w:rsid w:val="00C63B33"/>
    <w:rsid w:val="00C63E5C"/>
    <w:rsid w:val="00C64EE1"/>
    <w:rsid w:val="00C6525F"/>
    <w:rsid w:val="00C6748E"/>
    <w:rsid w:val="00C7389C"/>
    <w:rsid w:val="00C86C68"/>
    <w:rsid w:val="00C90804"/>
    <w:rsid w:val="00C974B0"/>
    <w:rsid w:val="00CA24A3"/>
    <w:rsid w:val="00CA2D7D"/>
    <w:rsid w:val="00CA4146"/>
    <w:rsid w:val="00CA4F23"/>
    <w:rsid w:val="00CA7DF2"/>
    <w:rsid w:val="00CB13C0"/>
    <w:rsid w:val="00CB23AD"/>
    <w:rsid w:val="00CC3C7C"/>
    <w:rsid w:val="00CC3D7D"/>
    <w:rsid w:val="00CC408D"/>
    <w:rsid w:val="00CC4D6C"/>
    <w:rsid w:val="00CE07BB"/>
    <w:rsid w:val="00D0162B"/>
    <w:rsid w:val="00D117F5"/>
    <w:rsid w:val="00D14818"/>
    <w:rsid w:val="00D15D23"/>
    <w:rsid w:val="00D216BD"/>
    <w:rsid w:val="00D25E6E"/>
    <w:rsid w:val="00D41ED4"/>
    <w:rsid w:val="00D43545"/>
    <w:rsid w:val="00D478B6"/>
    <w:rsid w:val="00D52402"/>
    <w:rsid w:val="00D53735"/>
    <w:rsid w:val="00D60ABA"/>
    <w:rsid w:val="00D62235"/>
    <w:rsid w:val="00D65C3D"/>
    <w:rsid w:val="00D6603E"/>
    <w:rsid w:val="00D677CF"/>
    <w:rsid w:val="00D7003F"/>
    <w:rsid w:val="00D8350B"/>
    <w:rsid w:val="00D835FB"/>
    <w:rsid w:val="00DA0A4F"/>
    <w:rsid w:val="00DB1F77"/>
    <w:rsid w:val="00DB2BB4"/>
    <w:rsid w:val="00DD1F00"/>
    <w:rsid w:val="00DD521C"/>
    <w:rsid w:val="00DD5E9F"/>
    <w:rsid w:val="00DE2020"/>
    <w:rsid w:val="00DE2DFE"/>
    <w:rsid w:val="00DE3777"/>
    <w:rsid w:val="00DF040B"/>
    <w:rsid w:val="00DF29BE"/>
    <w:rsid w:val="00E22A0C"/>
    <w:rsid w:val="00E3011E"/>
    <w:rsid w:val="00E32198"/>
    <w:rsid w:val="00E352F7"/>
    <w:rsid w:val="00E448B9"/>
    <w:rsid w:val="00E451BD"/>
    <w:rsid w:val="00E53BED"/>
    <w:rsid w:val="00E54D57"/>
    <w:rsid w:val="00E55A97"/>
    <w:rsid w:val="00E62066"/>
    <w:rsid w:val="00E665C2"/>
    <w:rsid w:val="00E84C97"/>
    <w:rsid w:val="00E87567"/>
    <w:rsid w:val="00E904A2"/>
    <w:rsid w:val="00E915EB"/>
    <w:rsid w:val="00E9656D"/>
    <w:rsid w:val="00EA5D81"/>
    <w:rsid w:val="00EB01C5"/>
    <w:rsid w:val="00EB2402"/>
    <w:rsid w:val="00EB75B1"/>
    <w:rsid w:val="00EB7A3B"/>
    <w:rsid w:val="00EC02B4"/>
    <w:rsid w:val="00EC0FC5"/>
    <w:rsid w:val="00EC1876"/>
    <w:rsid w:val="00EC5BF6"/>
    <w:rsid w:val="00ED4D16"/>
    <w:rsid w:val="00EF55B7"/>
    <w:rsid w:val="00F12F28"/>
    <w:rsid w:val="00F17274"/>
    <w:rsid w:val="00F21F8B"/>
    <w:rsid w:val="00F2312B"/>
    <w:rsid w:val="00F246DE"/>
    <w:rsid w:val="00F24C30"/>
    <w:rsid w:val="00F2712A"/>
    <w:rsid w:val="00F30AB5"/>
    <w:rsid w:val="00F319E0"/>
    <w:rsid w:val="00F33ADC"/>
    <w:rsid w:val="00F42B64"/>
    <w:rsid w:val="00F44B8D"/>
    <w:rsid w:val="00F45697"/>
    <w:rsid w:val="00F47E33"/>
    <w:rsid w:val="00F50ACC"/>
    <w:rsid w:val="00F514D5"/>
    <w:rsid w:val="00F54E77"/>
    <w:rsid w:val="00F5720D"/>
    <w:rsid w:val="00F6359A"/>
    <w:rsid w:val="00F66B8D"/>
    <w:rsid w:val="00F7144A"/>
    <w:rsid w:val="00F71A33"/>
    <w:rsid w:val="00F80489"/>
    <w:rsid w:val="00F84F1A"/>
    <w:rsid w:val="00F93D2D"/>
    <w:rsid w:val="00F94579"/>
    <w:rsid w:val="00FA63B1"/>
    <w:rsid w:val="00FA7E51"/>
    <w:rsid w:val="00FB3799"/>
    <w:rsid w:val="00FC0F57"/>
    <w:rsid w:val="00FC3575"/>
    <w:rsid w:val="00FC484C"/>
    <w:rsid w:val="00FD0414"/>
    <w:rsid w:val="00FD4E1F"/>
    <w:rsid w:val="00FE1112"/>
    <w:rsid w:val="00FE224E"/>
    <w:rsid w:val="00FE30C0"/>
    <w:rsid w:val="00FE3BCD"/>
    <w:rsid w:val="00FE6BC5"/>
    <w:rsid w:val="00FE7AA1"/>
    <w:rsid w:val="00FF265C"/>
    <w:rsid w:val="00FF4791"/>
    <w:rsid w:val="00FF4F6E"/>
    <w:rsid w:val="00FF50EB"/>
    <w:rsid w:val="00FF52FA"/>
    <w:rsid w:val="00FF6279"/>
    <w:rsid w:val="032A2883"/>
    <w:rsid w:val="05B0462B"/>
    <w:rsid w:val="07152F10"/>
    <w:rsid w:val="0BBB0DEF"/>
    <w:rsid w:val="0EF924C7"/>
    <w:rsid w:val="0F2C4E5E"/>
    <w:rsid w:val="12CE79BE"/>
    <w:rsid w:val="159F5055"/>
    <w:rsid w:val="17991FA6"/>
    <w:rsid w:val="188341C1"/>
    <w:rsid w:val="18D057B4"/>
    <w:rsid w:val="19DE6CD1"/>
    <w:rsid w:val="1AD500D4"/>
    <w:rsid w:val="1AFA47EA"/>
    <w:rsid w:val="1B956369"/>
    <w:rsid w:val="1E39539A"/>
    <w:rsid w:val="22A053CB"/>
    <w:rsid w:val="24845444"/>
    <w:rsid w:val="25B83123"/>
    <w:rsid w:val="25EE5F23"/>
    <w:rsid w:val="26EC7B40"/>
    <w:rsid w:val="292C3912"/>
    <w:rsid w:val="32741FA3"/>
    <w:rsid w:val="33DA4F4D"/>
    <w:rsid w:val="377428E7"/>
    <w:rsid w:val="3AE644C7"/>
    <w:rsid w:val="3B2B3AC7"/>
    <w:rsid w:val="3B5F1CCE"/>
    <w:rsid w:val="3BA5784F"/>
    <w:rsid w:val="3BAF0934"/>
    <w:rsid w:val="3D381EE4"/>
    <w:rsid w:val="3DA370D2"/>
    <w:rsid w:val="3FFF3BD8"/>
    <w:rsid w:val="40BD41EA"/>
    <w:rsid w:val="42036FD3"/>
    <w:rsid w:val="426B5232"/>
    <w:rsid w:val="4485299B"/>
    <w:rsid w:val="455B14D8"/>
    <w:rsid w:val="457676DF"/>
    <w:rsid w:val="496B529D"/>
    <w:rsid w:val="49922BE7"/>
    <w:rsid w:val="4BA261DD"/>
    <w:rsid w:val="4D3F08E5"/>
    <w:rsid w:val="51582A61"/>
    <w:rsid w:val="517544BA"/>
    <w:rsid w:val="57A54EEC"/>
    <w:rsid w:val="57AA6707"/>
    <w:rsid w:val="5A0F2DDC"/>
    <w:rsid w:val="5D004D32"/>
    <w:rsid w:val="5D57084C"/>
    <w:rsid w:val="5E376ABF"/>
    <w:rsid w:val="604C4730"/>
    <w:rsid w:val="617260C9"/>
    <w:rsid w:val="62E32ED6"/>
    <w:rsid w:val="646F491C"/>
    <w:rsid w:val="6703005F"/>
    <w:rsid w:val="6AD93299"/>
    <w:rsid w:val="6B4F648C"/>
    <w:rsid w:val="6B5F22BB"/>
    <w:rsid w:val="6BC64EC6"/>
    <w:rsid w:val="6C0901B5"/>
    <w:rsid w:val="6C872609"/>
    <w:rsid w:val="72B75148"/>
    <w:rsid w:val="738A7000"/>
    <w:rsid w:val="7A9510C8"/>
    <w:rsid w:val="7B871DCF"/>
    <w:rsid w:val="7FF327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20" w:semiHidden="0" w:name="Emphasis" w:locked="1"/>
    <w:lsdException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semiHidden/>
    <w:uiPriority w:val="99"/>
    <w:rPr>
      <w:rFonts w:ascii="宋体" w:cs="宋体"/>
      <w:sz w:val="18"/>
      <w:szCs w:val="18"/>
    </w:rPr>
  </w:style>
  <w:style w:type="paragraph" w:styleId="3">
    <w:name w:val="Balloon Text"/>
    <w:basedOn w:val="1"/>
    <w:link w:val="19"/>
    <w:semiHidden/>
    <w:locked/>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24"/>
      <w:szCs w:val="24"/>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6">
    <w:name w:val="Normal (Web)"/>
    <w:basedOn w:val="1"/>
    <w:qFormat/>
    <w:uiPriority w:val="99"/>
    <w:rPr>
      <w:sz w:val="24"/>
      <w:szCs w:val="24"/>
    </w:rPr>
  </w:style>
  <w:style w:type="character" w:styleId="9">
    <w:name w:val="Strong"/>
    <w:qFormat/>
    <w:uiPriority w:val="99"/>
    <w:rPr>
      <w:b/>
      <w:bCs/>
    </w:rPr>
  </w:style>
  <w:style w:type="character" w:styleId="10">
    <w:name w:val="page number"/>
    <w:basedOn w:val="8"/>
    <w:qFormat/>
    <w:locked/>
    <w:uiPriority w:val="99"/>
  </w:style>
  <w:style w:type="character" w:styleId="11">
    <w:name w:val="FollowedHyperlink"/>
    <w:uiPriority w:val="99"/>
    <w:rPr>
      <w:rFonts w:ascii="宋体" w:hAnsi="宋体" w:eastAsia="宋体" w:cs="宋体"/>
      <w:color w:val="auto"/>
      <w:sz w:val="18"/>
      <w:szCs w:val="18"/>
      <w:u w:val="none"/>
    </w:rPr>
  </w:style>
  <w:style w:type="character" w:styleId="12">
    <w:name w:val="Hyperlink"/>
    <w:uiPriority w:val="99"/>
    <w:rPr>
      <w:rFonts w:ascii="宋体" w:hAnsi="宋体" w:eastAsia="宋体" w:cs="宋体"/>
      <w:color w:val="auto"/>
      <w:sz w:val="18"/>
      <w:szCs w:val="18"/>
      <w:u w:val="none"/>
    </w:rPr>
  </w:style>
  <w:style w:type="character" w:customStyle="1" w:styleId="13">
    <w:name w:val="页脚 Char"/>
    <w:link w:val="4"/>
    <w:qFormat/>
    <w:locked/>
    <w:uiPriority w:val="99"/>
    <w:rPr>
      <w:rFonts w:ascii="Calibri" w:hAnsi="Calibri" w:cs="Calibri"/>
      <w:kern w:val="2"/>
      <w:sz w:val="24"/>
      <w:szCs w:val="24"/>
    </w:rPr>
  </w:style>
  <w:style w:type="character" w:customStyle="1" w:styleId="14">
    <w:name w:val="页眉 Char"/>
    <w:link w:val="5"/>
    <w:semiHidden/>
    <w:qFormat/>
    <w:locked/>
    <w:uiPriority w:val="99"/>
    <w:rPr>
      <w:rFonts w:ascii="Calibri" w:hAnsi="Calibri" w:cs="Calibri"/>
      <w:sz w:val="18"/>
      <w:szCs w:val="18"/>
    </w:rPr>
  </w:style>
  <w:style w:type="paragraph" w:customStyle="1" w:styleId="15">
    <w:name w:val="px20lan"/>
    <w:basedOn w:val="1"/>
    <w:qFormat/>
    <w:uiPriority w:val="99"/>
    <w:pPr>
      <w:spacing w:line="450" w:lineRule="atLeast"/>
      <w:jc w:val="left"/>
    </w:pPr>
    <w:rPr>
      <w:rFonts w:ascii="宋体" w:hAnsi="宋体" w:cs="宋体"/>
      <w:b/>
      <w:bCs/>
      <w:color w:val="1469A2"/>
      <w:kern w:val="0"/>
      <w:sz w:val="30"/>
      <w:szCs w:val="30"/>
    </w:rPr>
  </w:style>
  <w:style w:type="character" w:customStyle="1" w:styleId="16">
    <w:name w:val="fontstyle01"/>
    <w:uiPriority w:val="99"/>
    <w:rPr>
      <w:rFonts w:ascii="仿宋_GB2312" w:eastAsia="仿宋_GB2312" w:cs="仿宋_GB2312"/>
      <w:color w:val="000000"/>
      <w:sz w:val="32"/>
      <w:szCs w:val="32"/>
    </w:rPr>
  </w:style>
  <w:style w:type="character" w:customStyle="1" w:styleId="17">
    <w:name w:val="文档结构图 Char"/>
    <w:link w:val="2"/>
    <w:qFormat/>
    <w:locked/>
    <w:uiPriority w:val="99"/>
    <w:rPr>
      <w:rFonts w:ascii="宋体" w:hAnsi="Calibri" w:cs="宋体"/>
      <w:kern w:val="2"/>
      <w:sz w:val="18"/>
      <w:szCs w:val="18"/>
    </w:rPr>
  </w:style>
  <w:style w:type="paragraph" w:customStyle="1" w:styleId="1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Times New Roman" w:hAnsi="Times New Roman" w:cs="Times New Roman"/>
    </w:rPr>
  </w:style>
  <w:style w:type="character" w:customStyle="1" w:styleId="19">
    <w:name w:val="批注框文本 Char"/>
    <w:link w:val="3"/>
    <w:semiHidden/>
    <w:locked/>
    <w:uiPriority w:val="99"/>
    <w:rPr>
      <w:rFonts w:ascii="Calibri" w:hAnsi="Calibri" w:cs="Calibri"/>
      <w:kern w:val="2"/>
      <w:sz w:val="18"/>
      <w:szCs w:val="1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8</Pages>
  <Words>3594</Words>
  <Characters>3656</Characters>
  <Lines>26</Lines>
  <Paragraphs>7</Paragraphs>
  <TotalTime>77</TotalTime>
  <ScaleCrop>false</ScaleCrop>
  <LinksUpToDate>false</LinksUpToDate>
  <CharactersWithSpaces>3659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2020-03-19T03:28:00Z</dcterms:created>
  <dc:creator>Administrator</dc:creator>
  <cp:lastModifiedBy>Ciao</cp:lastModifiedBy>
  <cp:lastPrinted>2020-03-17T09:33:00Z</cp:lastPrinted>
  <dcterms:modified xsi:type="dcterms:W3CDTF">2025-10-16T09:20:17Z</dcterms:modified>
  <dc:title>市信访办法治政府建设情况报告</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eyJoZGlkIjoiNjQwM2QzNjAwM2JjMDFjZDdlMTY2NTIxZTYxZGZkMzUiLCJ1c2VySWQiOiIxMTcyMjM1NTIyIn0=</vt:lpwstr>
  </property>
  <property fmtid="{D5CDD505-2E9C-101B-9397-08002B2CF9AE}" pid="4" name="ICV">
    <vt:lpwstr>7228DACCB45D468F94F121841DA616C4_12</vt:lpwstr>
  </property>
</Properties>
</file>